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CE2799" w:rsidRPr="00CE2799">
        <w:rPr>
          <w:rFonts w:eastAsiaTheme="minorEastAsia" w:cs="Arial"/>
          <w:lang w:eastAsia="en-GB"/>
        </w:rPr>
        <w:t>Armenia</w:t>
      </w:r>
      <w:bookmarkEnd w:id="0"/>
    </w:p>
    <w:p w:rsidR="00D733BD" w:rsidRPr="00D733BD" w:rsidRDefault="00D733BD" w:rsidP="00D733BD">
      <w:pPr>
        <w:rPr>
          <w:rFonts w:cs="Arial"/>
          <w:szCs w:val="18"/>
        </w:rPr>
      </w:pPr>
      <w:r w:rsidRPr="00D733BD">
        <w:rPr>
          <w:rFonts w:cs="Arial"/>
          <w:szCs w:val="18"/>
        </w:rPr>
        <w:t>This analysis is based on a methodology developed from 2010 and 2020</w:t>
      </w:r>
      <w:r w:rsidRPr="00D733BD">
        <w:rPr>
          <w:rFonts w:cs="Arial"/>
          <w:szCs w:val="18"/>
          <w:vertAlign w:val="superscript"/>
        </w:rPr>
        <w:footnoteReference w:id="1"/>
      </w:r>
      <w:r w:rsidRPr="00D733BD">
        <w:rPr>
          <w:rFonts w:cs="Arial"/>
          <w:szCs w:val="18"/>
          <w:vertAlign w:val="superscript"/>
        </w:rPr>
        <w:t xml:space="preserve"> </w:t>
      </w:r>
      <w:r w:rsidRPr="00D733BD">
        <w:rPr>
          <w:rFonts w:cs="Arial"/>
          <w:szCs w:val="18"/>
          <w:vertAlign w:val="superscript"/>
        </w:rPr>
        <w:footnoteReference w:id="2"/>
      </w:r>
      <w:r w:rsidRPr="00D733BD">
        <w:rPr>
          <w:rFonts w:cs="Arial"/>
          <w:szCs w:val="18"/>
        </w:rPr>
        <w:t xml:space="preserve"> </w:t>
      </w:r>
      <w:r w:rsidRPr="00D733BD">
        <w:rPr>
          <w:rFonts w:cs="Arial"/>
          <w:szCs w:val="18"/>
          <w:vertAlign w:val="superscript"/>
        </w:rPr>
        <w:footnoteReference w:id="3"/>
      </w:r>
      <w:r w:rsidRPr="00D733BD">
        <w:rPr>
          <w:rFonts w:cs="Arial"/>
          <w:szCs w:val="18"/>
        </w:rPr>
        <w:t xml:space="preserve">.It uses international data sources to identify global wellbeing references, identifies the levels replicable to all and estimates the deficit from those by country, time-period, sex and age group. </w:t>
      </w:r>
    </w:p>
    <w:p w:rsidR="00D733BD" w:rsidRPr="00D733BD" w:rsidRDefault="00D733BD" w:rsidP="00D733BD">
      <w:pPr>
        <w:rPr>
          <w:rFonts w:cs="Arial"/>
          <w:szCs w:val="18"/>
        </w:rPr>
      </w:pPr>
      <w:r w:rsidRPr="00D733BD">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D733BD" w:rsidRPr="00D733BD" w:rsidRDefault="00D733BD" w:rsidP="00D733BD">
      <w:pPr>
        <w:spacing w:after="0"/>
        <w:rPr>
          <w:rFonts w:eastAsiaTheme="majorEastAsia" w:cs="Arial"/>
          <w:b/>
          <w:szCs w:val="18"/>
          <w:u w:val="single"/>
        </w:rPr>
      </w:pPr>
      <w:r w:rsidRPr="00D733BD">
        <w:rPr>
          <w:rFonts w:eastAsiaTheme="majorEastAsia" w:cs="Arial"/>
          <w:b/>
          <w:szCs w:val="18"/>
          <w:u w:val="single"/>
        </w:rPr>
        <w:t>Methodology</w:t>
      </w:r>
    </w:p>
    <w:p w:rsidR="00D733BD" w:rsidRPr="00D733BD" w:rsidRDefault="00D733BD" w:rsidP="00D733BD">
      <w:pPr>
        <w:jc w:val="both"/>
        <w:rPr>
          <w:rFonts w:cs="Arial"/>
          <w:szCs w:val="18"/>
        </w:rPr>
      </w:pPr>
      <w:r w:rsidRPr="00D733BD">
        <w:rPr>
          <w:rFonts w:cs="Arial"/>
          <w:szCs w:val="18"/>
        </w:rPr>
        <w:t>The only global health objective agreed by all countries is the constitution of the World Health Organization, which aims at the “</w:t>
      </w:r>
      <w:r w:rsidRPr="00D733BD">
        <w:rPr>
          <w:rFonts w:cs="Arial"/>
          <w:i/>
          <w:szCs w:val="18"/>
        </w:rPr>
        <w:t>best feasible level of health for all</w:t>
      </w:r>
      <w:r w:rsidRPr="00D733BD">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w:t>
      </w:r>
      <w:r w:rsidR="00D7293C" w:rsidRPr="00D733BD">
        <w:rPr>
          <w:rFonts w:cs="Arial"/>
          <w:szCs w:val="18"/>
        </w:rPr>
        <w:t>safeguarding</w:t>
      </w:r>
      <w:r w:rsidRPr="00D733BD">
        <w:rPr>
          <w:rFonts w:cs="Arial"/>
          <w:szCs w:val="18"/>
        </w:rPr>
        <w:t xml:space="preserve"> intergenerational equity. </w:t>
      </w:r>
    </w:p>
    <w:p w:rsidR="00D733BD" w:rsidRPr="00D733BD" w:rsidRDefault="00D733BD" w:rsidP="00D733BD">
      <w:pPr>
        <w:jc w:val="both"/>
        <w:rPr>
          <w:rFonts w:cs="Arial"/>
          <w:szCs w:val="18"/>
        </w:rPr>
      </w:pPr>
      <w:r w:rsidRPr="00D733BD">
        <w:rPr>
          <w:rFonts w:cs="Arial"/>
          <w:szCs w:val="18"/>
        </w:rPr>
        <w:t xml:space="preserve">Using those </w:t>
      </w:r>
      <w:r w:rsidRPr="00D733BD">
        <w:rPr>
          <w:rFonts w:cs="Arial"/>
          <w:i/>
          <w:szCs w:val="18"/>
          <w:u w:val="single"/>
        </w:rPr>
        <w:t>healthy, replicable and sustainable</w:t>
      </w:r>
      <w:r w:rsidRPr="00D733BD">
        <w:rPr>
          <w:rFonts w:cs="Arial"/>
          <w:szCs w:val="18"/>
        </w:rPr>
        <w:t xml:space="preserve"> (HRS) models</w:t>
      </w:r>
      <w:r w:rsidRPr="00D733BD">
        <w:rPr>
          <w:rFonts w:cs="Arial"/>
          <w:szCs w:val="18"/>
          <w:vertAlign w:val="superscript"/>
        </w:rPr>
        <w:footnoteReference w:id="4"/>
      </w:r>
      <w:r w:rsidRPr="00D733BD">
        <w:rPr>
          <w:rFonts w:cs="Arial"/>
          <w:szCs w:val="18"/>
        </w:rPr>
        <w:t xml:space="preserve">, we adjusted mortality rates by age and sex published by the UN Population Division every five years. We call the excess mortality above that from the HRS models, the </w:t>
      </w:r>
      <w:r w:rsidRPr="00D733BD">
        <w:rPr>
          <w:rFonts w:cs="Arial"/>
          <w:i/>
          <w:szCs w:val="18"/>
          <w:u w:val="single"/>
        </w:rPr>
        <w:t>burden of health inequity</w:t>
      </w:r>
      <w:r w:rsidRPr="00D733BD">
        <w:rPr>
          <w:rFonts w:cs="Arial"/>
          <w:szCs w:val="18"/>
        </w:rPr>
        <w:t>. The analysis also allows setting the “</w:t>
      </w:r>
      <w:r w:rsidRPr="00D733BD">
        <w:rPr>
          <w:rFonts w:cs="Arial"/>
          <w:i/>
          <w:szCs w:val="18"/>
        </w:rPr>
        <w:t>dignity threshold</w:t>
      </w:r>
      <w:r w:rsidRPr="00D733BD">
        <w:rPr>
          <w:rFonts w:cs="Arial"/>
          <w:szCs w:val="18"/>
        </w:rPr>
        <w:t>” (below which no country has achieved that best feasible health) and the “</w:t>
      </w:r>
      <w:r w:rsidRPr="00D733BD">
        <w:rPr>
          <w:rFonts w:cs="Arial"/>
          <w:i/>
          <w:szCs w:val="18"/>
        </w:rPr>
        <w:t>upper threshold</w:t>
      </w:r>
      <w:r w:rsidRPr="00D733BD">
        <w:rPr>
          <w:rFonts w:cs="Arial"/>
          <w:szCs w:val="18"/>
        </w:rPr>
        <w:t xml:space="preserve">” (above which wellbeing does not improve). Those thresholds frame the </w:t>
      </w:r>
      <w:r w:rsidRPr="00D733BD">
        <w:rPr>
          <w:rFonts w:cs="Arial"/>
          <w:i/>
          <w:szCs w:val="18"/>
        </w:rPr>
        <w:t>equity curve</w:t>
      </w:r>
      <w:r w:rsidRPr="00D733BD">
        <w:rPr>
          <w:rFonts w:cs="Arial"/>
          <w:szCs w:val="18"/>
        </w:rPr>
        <w:t xml:space="preserve"> between both and the level of </w:t>
      </w:r>
      <w:r w:rsidRPr="00D733BD">
        <w:rPr>
          <w:rFonts w:cs="Arial"/>
          <w:i/>
          <w:szCs w:val="18"/>
        </w:rPr>
        <w:t>redistribution required</w:t>
      </w:r>
      <w:r w:rsidRPr="00D733BD">
        <w:rPr>
          <w:rFonts w:cs="Arial"/>
          <w:szCs w:val="18"/>
        </w:rPr>
        <w:t xml:space="preserve"> for those under the dignity threshold (in need of net support) or from those above the upper threshold (ethically responsible for net contribution). </w:t>
      </w:r>
    </w:p>
    <w:p w:rsidR="00132816" w:rsidRPr="00E963F0" w:rsidRDefault="00D733BD" w:rsidP="00D733BD">
      <w:pPr>
        <w:jc w:val="both"/>
        <w:rPr>
          <w:rFonts w:cs="Arial"/>
          <w:szCs w:val="18"/>
        </w:rPr>
      </w:pPr>
      <w:r w:rsidRPr="00D733BD">
        <w:rPr>
          <w:rFonts w:cs="Arial"/>
          <w:szCs w:val="18"/>
        </w:rPr>
        <w:t xml:space="preserve">Taking into account the negative impact on third countries by excess income pc or excess carbon emissions pc, we estimated the </w:t>
      </w:r>
      <w:r w:rsidRPr="00D733BD">
        <w:rPr>
          <w:rFonts w:cs="Arial"/>
          <w:i/>
          <w:szCs w:val="18"/>
        </w:rPr>
        <w:t>Sustainable and Equitable Wellbeing (SEW) Index</w:t>
      </w:r>
      <w:r w:rsidRPr="00D733BD">
        <w:rPr>
          <w:rFonts w:cs="Arial"/>
          <w:i/>
          <w:szCs w:val="18"/>
          <w:vertAlign w:val="superscript"/>
        </w:rPr>
        <w:footnoteReference w:id="5"/>
      </w:r>
      <w:r w:rsidRPr="00D733BD">
        <w:rPr>
          <w:rFonts w:cs="Arial"/>
          <w:i/>
          <w:szCs w:val="18"/>
        </w:rPr>
        <w:t xml:space="preserve">. </w:t>
      </w:r>
      <w:r w:rsidRPr="00D733BD">
        <w:rPr>
          <w:rFonts w:cs="Arial"/>
          <w:szCs w:val="18"/>
        </w:rPr>
        <w:t>The methodology we hereby propose challenges XX</w:t>
      </w:r>
      <w:r w:rsidRPr="00D733BD">
        <w:rPr>
          <w:rFonts w:cs="Arial"/>
          <w:szCs w:val="18"/>
          <w:vertAlign w:val="superscript"/>
        </w:rPr>
        <w:t>th</w:t>
      </w:r>
      <w:r w:rsidRPr="00D733BD">
        <w:rPr>
          <w:rFonts w:cs="Arial"/>
          <w:szCs w:val="18"/>
        </w:rPr>
        <w:t xml:space="preserve"> century concepts such as high income-development models, constant GDP growth, poverty, ODA and the human development index. The hereby suggested “</w:t>
      </w:r>
      <w:r w:rsidRPr="00D733BD">
        <w:rPr>
          <w:rFonts w:cs="Arial"/>
          <w:i/>
          <w:szCs w:val="18"/>
        </w:rPr>
        <w:t>equity lenses</w:t>
      </w:r>
      <w:r w:rsidRPr="00D733BD">
        <w:rPr>
          <w:rFonts w:cs="Arial"/>
          <w:szCs w:val="18"/>
        </w:rPr>
        <w:t xml:space="preserve">” provide a useful tool to identify </w:t>
      </w:r>
      <w:r w:rsidRPr="00D733BD">
        <w:rPr>
          <w:rFonts w:cs="Arial"/>
          <w:i/>
          <w:szCs w:val="18"/>
        </w:rPr>
        <w:t>alternative wellbeing models</w:t>
      </w:r>
      <w:r w:rsidRPr="00D733BD">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D733BD" w:rsidRDefault="00D733BD" w:rsidP="00BA3D4A">
      <w:pPr>
        <w:rPr>
          <w:rFonts w:cs="Arial"/>
          <w:szCs w:val="18"/>
        </w:rPr>
      </w:pPr>
      <w:r w:rsidRPr="00D733BD">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w:t>
      </w:r>
      <w:r>
        <w:rPr>
          <w:rFonts w:cs="Arial"/>
          <w:szCs w:val="18"/>
        </w:rPr>
        <w:t>h historical and cultural links</w:t>
      </w:r>
      <w:r>
        <w:rPr>
          <w:szCs w:val="18"/>
        </w:rPr>
        <w:t xml:space="preserve">  </w:t>
      </w:r>
      <w:r w:rsidR="005C4DF7" w:rsidRPr="00BA3D4A">
        <w:rPr>
          <w:szCs w:val="18"/>
        </w:rPr>
        <w:t xml:space="preserve">to </w:t>
      </w:r>
      <w:r w:rsidR="00CE2799" w:rsidRPr="00CE2799">
        <w:rPr>
          <w:szCs w:val="18"/>
          <w:lang w:eastAsia="en-GB"/>
        </w:rPr>
        <w:t>Armenia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D7293C"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1pt;height:227.2pt">
            <v:imagedata r:id="rId8" o:title=""/>
          </v:shape>
        </w:pict>
      </w:r>
    </w:p>
    <w:p w:rsidR="00DD01AF" w:rsidRPr="005D78C1" w:rsidRDefault="005C4DF7">
      <w:pPr>
        <w:rPr>
          <w:rFonts w:cs="Arial"/>
          <w:szCs w:val="18"/>
        </w:rPr>
      </w:pPr>
      <w:r w:rsidRPr="005D78C1">
        <w:rPr>
          <w:rFonts w:cs="Arial"/>
          <w:szCs w:val="18"/>
        </w:rPr>
        <w:t xml:space="preserve">The above table shows how </w:t>
      </w:r>
      <w:r w:rsidR="00CE2799" w:rsidRPr="00CE2799">
        <w:rPr>
          <w:rFonts w:cs="Arial"/>
          <w:szCs w:val="18"/>
          <w:lang w:eastAsia="en-GB"/>
        </w:rPr>
        <w:t>Armenia</w:t>
      </w:r>
      <w:r w:rsidRPr="005D78C1">
        <w:rPr>
          <w:rFonts w:cs="Arial"/>
          <w:szCs w:val="18"/>
        </w:rPr>
        <w:t xml:space="preserve"> has a bio capacity</w:t>
      </w:r>
      <w:r w:rsidR="00697F5B" w:rsidRPr="005D78C1">
        <w:rPr>
          <w:rFonts w:cs="Arial"/>
          <w:szCs w:val="18"/>
        </w:rPr>
        <w:t xml:space="preserve"> </w:t>
      </w:r>
      <w:r w:rsidR="00CE2799" w:rsidRPr="00CE2799">
        <w:rPr>
          <w:rFonts w:eastAsiaTheme="minorEastAsia" w:cs="Arial"/>
          <w:szCs w:val="18"/>
          <w:lang w:eastAsia="en-GB"/>
        </w:rPr>
        <w:t>between the two</w:t>
      </w:r>
      <w:r w:rsidR="005D78C1" w:rsidRPr="005D78C1">
        <w:rPr>
          <w:rFonts w:cs="Arial"/>
          <w:szCs w:val="18"/>
        </w:rPr>
        <w:t xml:space="preserve"> neighbour countries, </w:t>
      </w:r>
      <w:r w:rsidR="00CE2799" w:rsidRPr="00CE2799">
        <w:rPr>
          <w:rFonts w:eastAsiaTheme="minorEastAsia" w:cs="Arial"/>
          <w:szCs w:val="18"/>
          <w:lang w:eastAsia="en-GB"/>
        </w:rPr>
        <w:t>Azerbaijan</w:t>
      </w:r>
      <w:r w:rsidR="005D78C1" w:rsidRPr="005D78C1">
        <w:rPr>
          <w:rFonts w:cs="Arial"/>
          <w:szCs w:val="18"/>
        </w:rPr>
        <w:t xml:space="preserve"> and </w:t>
      </w:r>
      <w:r w:rsidR="00CE2799" w:rsidRPr="00CE2799">
        <w:rPr>
          <w:rFonts w:eastAsiaTheme="minorEastAsia" w:cs="Arial"/>
          <w:szCs w:val="18"/>
          <w:lang w:eastAsia="en-GB"/>
        </w:rPr>
        <w:t>Georgia</w:t>
      </w:r>
      <w:r w:rsidR="005D78C1" w:rsidRPr="005D78C1">
        <w:rPr>
          <w:rFonts w:cs="Arial"/>
          <w:szCs w:val="18"/>
        </w:rPr>
        <w:t xml:space="preserve">, </w:t>
      </w:r>
      <w:r w:rsidRPr="005D78C1">
        <w:rPr>
          <w:rFonts w:cs="Arial"/>
          <w:szCs w:val="18"/>
        </w:rPr>
        <w:t xml:space="preserve">and economic power (estimated though GDP CV) </w:t>
      </w:r>
      <w:r w:rsidR="00CE2799" w:rsidRPr="00CE2799">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It uses natural resources </w:t>
      </w:r>
      <w:r w:rsidR="005D78C1" w:rsidRPr="005D78C1">
        <w:rPr>
          <w:rFonts w:cs="Arial"/>
          <w:szCs w:val="18"/>
        </w:rPr>
        <w:t xml:space="preserve">(measured by the ecological footprint) at a rate </w:t>
      </w:r>
      <w:r w:rsidR="00CE2799" w:rsidRPr="00CE2799">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The level of life expectancy at birth is </w:t>
      </w:r>
      <w:r w:rsidR="00CE2799" w:rsidRPr="00CE2799">
        <w:rPr>
          <w:rFonts w:eastAsiaTheme="minorEastAsia" w:cs="Arial"/>
          <w:szCs w:val="18"/>
          <w:lang w:eastAsia="en-GB"/>
        </w:rPr>
        <w:t>above its neighbour</w:t>
      </w:r>
      <w:r w:rsidR="00CE2799" w:rsidRPr="00CE2799">
        <w:rPr>
          <w:rFonts w:ascii="Calibri" w:eastAsiaTheme="minorEastAsia" w:hAnsi="Calibri" w:cs="Calibri"/>
          <w:color w:val="000000"/>
          <w:sz w:val="22"/>
          <w:lang w:eastAsia="en-GB"/>
        </w:rPr>
        <w:t xml:space="preserve"> countries</w:t>
      </w:r>
      <w:r w:rsidR="005D78C1" w:rsidRPr="005D78C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D7293C" w:rsidP="00DD01AF">
      <w:r>
        <w:pict>
          <v:shape id="_x0000_i1026" type="#_x0000_t75" style="width:387.1pt;height:180.4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CE2799" w:rsidRPr="00CE2799">
        <w:rPr>
          <w:rFonts w:eastAsiaTheme="minorEastAsia" w:cs="Arial"/>
          <w:szCs w:val="18"/>
          <w:lang w:eastAsia="en-GB"/>
        </w:rPr>
        <w:t>Algeria</w:t>
      </w:r>
      <w:r w:rsidRPr="00C148B4">
        <w:rPr>
          <w:rFonts w:cs="Arial"/>
          <w:szCs w:val="18"/>
        </w:rPr>
        <w:t xml:space="preserve"> and </w:t>
      </w:r>
      <w:r w:rsidR="00CE2799" w:rsidRPr="00CE2799">
        <w:rPr>
          <w:rFonts w:eastAsiaTheme="minorEastAsia" w:cs="Arial"/>
          <w:szCs w:val="18"/>
          <w:lang w:eastAsia="en-GB"/>
        </w:rPr>
        <w:t>Guatemala</w:t>
      </w:r>
      <w:r w:rsidRPr="00C148B4">
        <w:rPr>
          <w:rFonts w:cs="Arial"/>
          <w:szCs w:val="18"/>
        </w:rPr>
        <w:t xml:space="preserve">. </w:t>
      </w:r>
      <w:r w:rsidR="00CE2799" w:rsidRPr="00CE2799">
        <w:rPr>
          <w:rFonts w:eastAsiaTheme="minorEastAsia" w:cs="Arial"/>
          <w:szCs w:val="18"/>
          <w:lang w:eastAsia="en-GB"/>
        </w:rPr>
        <w:t>Armenia</w:t>
      </w:r>
      <w:r w:rsidR="00EB2495" w:rsidRPr="00C148B4">
        <w:rPr>
          <w:rFonts w:cs="Arial"/>
          <w:b/>
          <w:szCs w:val="18"/>
        </w:rPr>
        <w:t xml:space="preserve"> </w:t>
      </w:r>
      <w:r w:rsidR="00EB2495" w:rsidRPr="00C148B4">
        <w:rPr>
          <w:rFonts w:cs="Arial"/>
          <w:szCs w:val="18"/>
        </w:rPr>
        <w:t xml:space="preserve">has a life expectancy at birth </w:t>
      </w:r>
      <w:r w:rsidR="00CE2799" w:rsidRPr="00CE2799">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D7293C">
      <w:r>
        <w:pict>
          <v:shape id="_x0000_i1027" type="#_x0000_t75" style="width:434.8pt;height:285.2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CE2799" w:rsidRPr="00CE2799">
        <w:rPr>
          <w:rFonts w:eastAsiaTheme="minorEastAsia" w:cs="Arial"/>
          <w:szCs w:val="18"/>
          <w:lang w:eastAsia="en-GB"/>
        </w:rPr>
        <w:t>Armenia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CE2799" w:rsidRPr="00CE2799">
        <w:rPr>
          <w:rFonts w:eastAsiaTheme="minorEastAsia" w:cs="Arial"/>
          <w:szCs w:val="18"/>
          <w:lang w:eastAsia="en-GB"/>
        </w:rPr>
        <w:t>Armenia</w:t>
      </w:r>
      <w:r w:rsidRPr="003C30ED">
        <w:rPr>
          <w:rFonts w:cs="Arial"/>
          <w:szCs w:val="18"/>
        </w:rPr>
        <w:t xml:space="preserve"> is </w:t>
      </w:r>
      <w:r w:rsidR="00CE2799" w:rsidRPr="00CE2799">
        <w:rPr>
          <w:rFonts w:eastAsiaTheme="minorEastAsia" w:cs="Arial"/>
          <w:szCs w:val="18"/>
          <w:lang w:eastAsia="en-GB"/>
        </w:rPr>
        <w:t>49%</w:t>
      </w:r>
      <w:r w:rsidRPr="003C30ED">
        <w:rPr>
          <w:rFonts w:cs="Arial"/>
          <w:szCs w:val="18"/>
        </w:rPr>
        <w:t xml:space="preserve"> of the world average</w:t>
      </w:r>
      <w:r w:rsidR="00B418EB" w:rsidRPr="003C30ED">
        <w:rPr>
          <w:rFonts w:cs="Arial"/>
          <w:szCs w:val="18"/>
        </w:rPr>
        <w:t xml:space="preserve">, hence being </w:t>
      </w:r>
      <w:r w:rsidR="00CE2799" w:rsidRPr="00CE2799">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CE2799" w:rsidRPr="00CE2799">
        <w:rPr>
          <w:rFonts w:eastAsiaTheme="minorEastAsia" w:cs="Arial"/>
          <w:szCs w:val="18"/>
          <w:lang w:eastAsia="en-GB"/>
        </w:rPr>
        <w:t>Armenia</w:t>
      </w:r>
      <w:bookmarkEnd w:id="2"/>
      <w:r w:rsidR="00B418EB" w:rsidRPr="003C30ED">
        <w:rPr>
          <w:rFonts w:cs="Arial"/>
          <w:szCs w:val="18"/>
        </w:rPr>
        <w:t xml:space="preserve"> is </w:t>
      </w:r>
      <w:r w:rsidR="00CE2799" w:rsidRPr="00CE2799">
        <w:rPr>
          <w:rFonts w:eastAsiaTheme="minorEastAsia" w:cs="Arial"/>
          <w:szCs w:val="18"/>
          <w:lang w:eastAsia="en-GB"/>
        </w:rPr>
        <w:t>69%</w:t>
      </w:r>
      <w:r w:rsidR="00C443DA" w:rsidRPr="003C30ED">
        <w:rPr>
          <w:rFonts w:cs="Arial"/>
          <w:szCs w:val="18"/>
        </w:rPr>
        <w:t xml:space="preserve"> of the international average and </w:t>
      </w:r>
      <w:r w:rsidR="00CE2799" w:rsidRPr="00CE2799">
        <w:rPr>
          <w:rFonts w:eastAsiaTheme="minorEastAsia" w:cs="Arial"/>
          <w:szCs w:val="18"/>
          <w:lang w:eastAsia="en-GB"/>
        </w:rPr>
        <w:t>119%</w:t>
      </w:r>
      <w:r w:rsidR="00C443DA" w:rsidRPr="003C30ED">
        <w:rPr>
          <w:rFonts w:cs="Arial"/>
          <w:szCs w:val="18"/>
        </w:rPr>
        <w:t xml:space="preserve"> of the recycling threshold, hence ecologically </w:t>
      </w:r>
      <w:r w:rsidR="00CE2799" w:rsidRPr="00CE2799">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CE2799" w:rsidRPr="00CE2799">
        <w:rPr>
          <w:rFonts w:eastAsiaTheme="minorEastAsia" w:cs="Arial"/>
          <w:szCs w:val="18"/>
          <w:lang w:eastAsia="en-GB"/>
        </w:rPr>
        <w:t>Armenia</w:t>
      </w:r>
      <w:r w:rsidR="00C443DA" w:rsidRPr="003C30ED">
        <w:rPr>
          <w:rFonts w:cs="Arial"/>
          <w:szCs w:val="18"/>
        </w:rPr>
        <w:t xml:space="preserve"> is </w:t>
      </w:r>
      <w:r w:rsidR="00CE2799" w:rsidRPr="00CE2799">
        <w:rPr>
          <w:rFonts w:eastAsiaTheme="minorEastAsia" w:cs="Arial"/>
          <w:szCs w:val="18"/>
          <w:lang w:eastAsia="en-GB"/>
        </w:rPr>
        <w:t>244%</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CE2799" w:rsidRPr="00CE2799">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CE2799" w:rsidRPr="00CE2799">
        <w:rPr>
          <w:rFonts w:eastAsiaTheme="minorEastAsia" w:cs="Arial"/>
          <w:szCs w:val="18"/>
          <w:lang w:eastAsia="en-GB"/>
        </w:rPr>
        <w:t>41%</w:t>
      </w:r>
      <w:r w:rsidR="00691D14" w:rsidRPr="003C30ED">
        <w:rPr>
          <w:rFonts w:cs="Arial"/>
          <w:szCs w:val="18"/>
        </w:rPr>
        <w:t xml:space="preserve"> of the international level and </w:t>
      </w:r>
      <w:r w:rsidR="00CE2799" w:rsidRPr="00CE2799">
        <w:rPr>
          <w:rFonts w:eastAsiaTheme="minorEastAsia" w:cs="Arial"/>
          <w:szCs w:val="18"/>
          <w:lang w:eastAsia="en-GB"/>
        </w:rPr>
        <w:t>106%</w:t>
      </w:r>
      <w:r w:rsidR="00691D14" w:rsidRPr="003C30ED">
        <w:rPr>
          <w:rFonts w:cs="Arial"/>
          <w:szCs w:val="18"/>
        </w:rPr>
        <w:t xml:space="preserve"> of the ethical threshold, therefore </w:t>
      </w:r>
      <w:r w:rsidR="00CE2799" w:rsidRPr="00CE2799">
        <w:rPr>
          <w:rFonts w:eastAsiaTheme="minorEastAsia" w:cs="Arial"/>
          <w:szCs w:val="18"/>
          <w:lang w:eastAsia="en-GB"/>
        </w:rPr>
        <w:t>contributing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CE2799" w:rsidRPr="00CE2799">
        <w:rPr>
          <w:rFonts w:cs="Arial"/>
          <w:szCs w:val="18"/>
        </w:rPr>
        <w:t>Armenia</w:t>
      </w:r>
      <w:r w:rsidRPr="0040139C">
        <w:rPr>
          <w:rFonts w:cs="Arial"/>
          <w:szCs w:val="18"/>
        </w:rPr>
        <w:t xml:space="preserve">’s GDP CV pc is </w:t>
      </w:r>
      <w:r w:rsidR="00CE2799" w:rsidRPr="00CE2799">
        <w:rPr>
          <w:rFonts w:eastAsiaTheme="minorEastAsia" w:cs="Arial"/>
          <w:szCs w:val="18"/>
          <w:lang w:eastAsia="en-GB"/>
        </w:rPr>
        <w:t>38%</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CE2799" w:rsidRPr="00CE2799">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CE2799" w:rsidRPr="00CE2799">
        <w:rPr>
          <w:rFonts w:eastAsiaTheme="minorEastAsia" w:cs="Arial"/>
          <w:szCs w:val="18"/>
          <w:lang w:eastAsia="en-GB"/>
        </w:rPr>
        <w:t>106%</w:t>
      </w:r>
      <w:r w:rsidRPr="0040139C">
        <w:rPr>
          <w:rFonts w:cs="Arial"/>
          <w:szCs w:val="18"/>
        </w:rPr>
        <w:t xml:space="preserve"> of the HRS reference. </w:t>
      </w:r>
      <w:r w:rsidR="0091495E" w:rsidRPr="0040139C">
        <w:rPr>
          <w:rFonts w:cs="Arial"/>
          <w:szCs w:val="18"/>
        </w:rPr>
        <w:t xml:space="preserve">Its cumulative wealth pcy is </w:t>
      </w:r>
      <w:r w:rsidR="00CE2799" w:rsidRPr="00CE2799">
        <w:rPr>
          <w:rFonts w:eastAsiaTheme="minorEastAsia" w:cs="Arial"/>
          <w:szCs w:val="18"/>
          <w:lang w:eastAsia="en-GB"/>
        </w:rPr>
        <w:t>30%</w:t>
      </w:r>
      <w:r w:rsidR="0091495E" w:rsidRPr="0040139C">
        <w:rPr>
          <w:rFonts w:cs="Arial"/>
          <w:szCs w:val="18"/>
        </w:rPr>
        <w:t xml:space="preserve"> of the international average and </w:t>
      </w:r>
      <w:r w:rsidR="00CE2799" w:rsidRPr="00CE2799">
        <w:rPr>
          <w:rFonts w:eastAsiaTheme="minorEastAsia" w:cs="Arial"/>
          <w:szCs w:val="18"/>
          <w:lang w:eastAsia="en-GB"/>
        </w:rPr>
        <w:t>105%</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CE2799" w:rsidRPr="00CE2799">
        <w:rPr>
          <w:rFonts w:eastAsiaTheme="minorEastAsia" w:cs="Arial"/>
          <w:szCs w:val="18"/>
          <w:lang w:eastAsia="en-GB"/>
        </w:rPr>
        <w:t>Armenia</w:t>
      </w:r>
      <w:r w:rsidRPr="00691D14">
        <w:rPr>
          <w:rFonts w:cs="Arial"/>
          <w:szCs w:val="18"/>
        </w:rPr>
        <w:t xml:space="preserve"> is </w:t>
      </w:r>
      <w:r w:rsidR="00CE2799" w:rsidRPr="00CE2799">
        <w:rPr>
          <w:rFonts w:eastAsiaTheme="minorEastAsia" w:cs="Arial"/>
          <w:szCs w:val="18"/>
          <w:lang w:eastAsia="en-GB"/>
        </w:rPr>
        <w:t>6.77</w:t>
      </w:r>
      <w:r w:rsidRPr="00691D14">
        <w:rPr>
          <w:rFonts w:cs="Arial"/>
          <w:szCs w:val="18"/>
        </w:rPr>
        <w:t xml:space="preserve"> years </w:t>
      </w:r>
      <w:r w:rsidR="00CE2799" w:rsidRPr="00CE2799">
        <w:rPr>
          <w:rFonts w:eastAsiaTheme="minorEastAsia" w:cs="Arial"/>
          <w:szCs w:val="18"/>
          <w:lang w:eastAsia="en-GB"/>
        </w:rPr>
        <w:t>above</w:t>
      </w:r>
      <w:r w:rsidRPr="00691D14">
        <w:rPr>
          <w:rFonts w:cs="Arial"/>
          <w:szCs w:val="18"/>
        </w:rPr>
        <w:t xml:space="preserve"> the international average (</w:t>
      </w:r>
      <w:r w:rsidR="00CE2799" w:rsidRPr="00CE2799">
        <w:rPr>
          <w:rFonts w:eastAsiaTheme="minorEastAsia" w:cs="Arial"/>
          <w:szCs w:val="18"/>
          <w:lang w:eastAsia="en-GB"/>
        </w:rPr>
        <w:t>3.47</w:t>
      </w:r>
      <w:r w:rsidRPr="00691D14">
        <w:rPr>
          <w:rFonts w:cs="Arial"/>
          <w:szCs w:val="18"/>
        </w:rPr>
        <w:t xml:space="preserve"> in women and </w:t>
      </w:r>
      <w:r w:rsidR="00CE2799" w:rsidRPr="00CE2799">
        <w:rPr>
          <w:rFonts w:eastAsiaTheme="minorEastAsia" w:cs="Arial"/>
          <w:szCs w:val="18"/>
          <w:lang w:eastAsia="en-GB"/>
        </w:rPr>
        <w:t>0.80</w:t>
      </w:r>
      <w:r w:rsidRPr="00691D14">
        <w:rPr>
          <w:rFonts w:cs="Arial"/>
          <w:szCs w:val="18"/>
        </w:rPr>
        <w:t xml:space="preserve"> </w:t>
      </w:r>
      <w:r w:rsidR="00CE2799" w:rsidRPr="00CE2799">
        <w:rPr>
          <w:rFonts w:eastAsiaTheme="minorEastAsia" w:cs="Arial"/>
          <w:szCs w:val="18"/>
          <w:lang w:eastAsia="en-GB"/>
        </w:rPr>
        <w:t>above</w:t>
      </w:r>
      <w:r w:rsidRPr="00691D14">
        <w:rPr>
          <w:rFonts w:cs="Arial"/>
          <w:szCs w:val="18"/>
        </w:rPr>
        <w:t xml:space="preserve"> in men) and </w:t>
      </w:r>
      <w:r w:rsidR="00CE2799" w:rsidRPr="00CE2799">
        <w:rPr>
          <w:rFonts w:eastAsiaTheme="minorEastAsia" w:cs="Arial"/>
          <w:szCs w:val="18"/>
          <w:lang w:eastAsia="en-GB"/>
        </w:rPr>
        <w:t>2.71</w:t>
      </w:r>
      <w:r w:rsidRPr="00691D14">
        <w:rPr>
          <w:rFonts w:cs="Arial"/>
          <w:szCs w:val="18"/>
        </w:rPr>
        <w:t xml:space="preserve"> years </w:t>
      </w:r>
      <w:r w:rsidR="00CE2799" w:rsidRPr="00CE2799">
        <w:rPr>
          <w:rFonts w:eastAsiaTheme="minorEastAsia" w:cs="Arial"/>
          <w:szCs w:val="18"/>
          <w:lang w:eastAsia="en-GB"/>
        </w:rPr>
        <w:t>above</w:t>
      </w:r>
      <w:r w:rsidRPr="00691D14">
        <w:rPr>
          <w:rFonts w:cs="Arial"/>
          <w:szCs w:val="18"/>
        </w:rPr>
        <w:t xml:space="preserve"> the HRS level (</w:t>
      </w:r>
      <w:r w:rsidR="00CE2799" w:rsidRPr="00CE2799">
        <w:rPr>
          <w:rFonts w:eastAsiaTheme="minorEastAsia" w:cs="Arial"/>
          <w:szCs w:val="18"/>
          <w:lang w:eastAsia="en-GB"/>
        </w:rPr>
        <w:t>1.82</w:t>
      </w:r>
      <w:r w:rsidRPr="00691D14">
        <w:rPr>
          <w:rFonts w:cs="Arial"/>
          <w:szCs w:val="18"/>
        </w:rPr>
        <w:t xml:space="preserve"> </w:t>
      </w:r>
      <w:r w:rsidR="00CE2799" w:rsidRPr="00CE2799">
        <w:rPr>
          <w:rFonts w:eastAsiaTheme="minorEastAsia" w:cs="Arial"/>
          <w:szCs w:val="18"/>
          <w:lang w:eastAsia="en-GB"/>
        </w:rPr>
        <w:t>below</w:t>
      </w:r>
      <w:r w:rsidRPr="00691D14">
        <w:rPr>
          <w:rFonts w:cs="Arial"/>
          <w:szCs w:val="18"/>
        </w:rPr>
        <w:t xml:space="preserve"> in women and </w:t>
      </w:r>
      <w:r w:rsidR="00CE2799" w:rsidRPr="00CE2799">
        <w:rPr>
          <w:rFonts w:eastAsiaTheme="minorEastAsia" w:cs="Arial"/>
          <w:szCs w:val="18"/>
          <w:lang w:eastAsia="en-GB"/>
        </w:rPr>
        <w:t>2.04</w:t>
      </w:r>
      <w:r w:rsidRPr="00691D14">
        <w:rPr>
          <w:rFonts w:cs="Arial"/>
          <w:szCs w:val="18"/>
        </w:rPr>
        <w:t xml:space="preserve"> </w:t>
      </w:r>
      <w:r w:rsidR="00CE2799" w:rsidRPr="00CE2799">
        <w:rPr>
          <w:rFonts w:eastAsiaTheme="minorEastAsia" w:cs="Arial"/>
          <w:szCs w:val="18"/>
          <w:lang w:eastAsia="en-GB"/>
        </w:rPr>
        <w:t>below</w:t>
      </w:r>
      <w:r w:rsidR="00BB1CDC" w:rsidRPr="00691D14">
        <w:rPr>
          <w:rFonts w:cs="Arial"/>
          <w:szCs w:val="18"/>
        </w:rPr>
        <w:t xml:space="preserve"> in men) with a proportional sex difference of </w:t>
      </w:r>
      <w:r w:rsidR="00CE2799" w:rsidRPr="00CE2799">
        <w:rPr>
          <w:rFonts w:eastAsiaTheme="minorEastAsia" w:cs="Arial"/>
          <w:szCs w:val="18"/>
          <w:lang w:eastAsia="en-GB"/>
        </w:rPr>
        <w:t>9.14%</w:t>
      </w:r>
      <w:r w:rsidR="00BB1CDC" w:rsidRPr="00691D14">
        <w:rPr>
          <w:rFonts w:cs="Arial"/>
          <w:szCs w:val="18"/>
        </w:rPr>
        <w:t xml:space="preserve">, </w:t>
      </w:r>
      <w:r w:rsidR="00CE2799" w:rsidRPr="00CE2799">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D733BD" w:rsidRPr="00D733BD" w:rsidRDefault="00D733BD" w:rsidP="00D733BD">
      <w:pPr>
        <w:rPr>
          <w:rFonts w:cs="Arial"/>
          <w:szCs w:val="18"/>
        </w:rPr>
      </w:pPr>
      <w:r w:rsidRPr="00D733BD">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D7293C">
        <w:rPr>
          <w:rFonts w:eastAsiaTheme="minorEastAsia" w:cs="Arial"/>
          <w:szCs w:val="18"/>
          <w:lang w:eastAsia="en-GB"/>
        </w:rPr>
        <w:t>Armenia</w:t>
      </w:r>
      <w:bookmarkStart w:id="3" w:name="_GoBack"/>
      <w:bookmarkEnd w:id="3"/>
      <w:r w:rsidRPr="00D733BD">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D7293C" w:rsidP="008224FD">
      <w:pPr>
        <w:keepNext/>
        <w:jc w:val="center"/>
      </w:pPr>
      <w:r>
        <w:pict>
          <v:shape id="_x0000_i1028" type="#_x0000_t75" style="width:339.4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D7293C" w:rsidP="00E2114C">
      <w:pPr>
        <w:jc w:val="center"/>
      </w:pPr>
      <w:r>
        <w:pict>
          <v:shape id="_x0000_i1029" type="#_x0000_t75" style="width:325.4pt;height:205.7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D7293C" w:rsidP="00907D25">
      <w:pPr>
        <w:pStyle w:val="Caption"/>
        <w:jc w:val="center"/>
        <w:rPr>
          <w:color w:val="1F4E79" w:themeColor="accent1" w:themeShade="80"/>
        </w:rPr>
      </w:pPr>
      <w:r>
        <w:rPr>
          <w:color w:val="1F4E79" w:themeColor="accent1" w:themeShade="80"/>
        </w:rPr>
        <w:pict>
          <v:shape id="_x0000_i1030" type="#_x0000_t75" style="width:325.4pt;height:205.7pt">
            <v:imagedata r:id="rId13" o:title=""/>
          </v:shape>
        </w:pict>
      </w:r>
    </w:p>
    <w:p w:rsidR="00EB78B7" w:rsidRPr="0040139C" w:rsidRDefault="004C7C3C" w:rsidP="00EB78B7">
      <w:pPr>
        <w:pStyle w:val="Caption"/>
        <w:rPr>
          <w:rFonts w:cs="Arial"/>
          <w:i w:val="0"/>
          <w:color w:val="1F4E79" w:themeColor="accent1" w:themeShade="80"/>
        </w:rPr>
      </w:pPr>
      <w:r w:rsidRPr="0040139C">
        <w:rPr>
          <w:rFonts w:cs="Arial"/>
          <w:i w:val="0"/>
          <w:color w:val="1F4E79" w:themeColor="accent1" w:themeShade="80"/>
        </w:rPr>
        <w:t xml:space="preserve">As the graphs above show, </w:t>
      </w:r>
      <w:r w:rsidR="00CE2799" w:rsidRPr="00CE2799">
        <w:rPr>
          <w:rFonts w:eastAsiaTheme="minorEastAsia" w:cs="Arial"/>
          <w:i w:val="0"/>
          <w:iCs w:val="0"/>
          <w:color w:val="1F4E79" w:themeColor="accent1" w:themeShade="80"/>
          <w:lang w:eastAsia="en-GB"/>
        </w:rPr>
        <w:t>Armenia</w:t>
      </w:r>
      <w:r w:rsidR="00EA013D" w:rsidRPr="0040139C">
        <w:rPr>
          <w:rFonts w:cs="Arial"/>
          <w:i w:val="0"/>
          <w:color w:val="1F4E79" w:themeColor="accent1" w:themeShade="80"/>
        </w:rPr>
        <w:t xml:space="preserve"> </w:t>
      </w:r>
      <w:r w:rsidR="00BD249A" w:rsidRPr="0040139C">
        <w:rPr>
          <w:rFonts w:cs="Arial"/>
          <w:i w:val="0"/>
          <w:color w:val="1F4E79" w:themeColor="accent1" w:themeShade="80"/>
        </w:rPr>
        <w:t xml:space="preserve">has a bio capacity pcy </w:t>
      </w:r>
      <w:r w:rsidR="00CE2799" w:rsidRPr="00CE2799">
        <w:rPr>
          <w:rFonts w:eastAsiaTheme="minorEastAsia" w:cs="Arial"/>
          <w:i w:val="0"/>
          <w:iCs w:val="0"/>
          <w:color w:val="1F4E79" w:themeColor="accent1" w:themeShade="80"/>
          <w:lang w:eastAsia="en-GB"/>
        </w:rPr>
        <w:t>replicable</w:t>
      </w:r>
      <w:r w:rsidR="00BD249A" w:rsidRPr="0040139C">
        <w:rPr>
          <w:rFonts w:cs="Arial"/>
          <w:i w:val="0"/>
          <w:color w:val="1F4E79" w:themeColor="accent1" w:themeShade="80"/>
        </w:rPr>
        <w:t xml:space="preserve"> at global level, </w:t>
      </w:r>
      <w:r w:rsidR="005F6310" w:rsidRPr="0040139C">
        <w:rPr>
          <w:rFonts w:cs="Arial"/>
          <w:i w:val="0"/>
          <w:color w:val="1F4E79" w:themeColor="accent1" w:themeShade="80"/>
        </w:rPr>
        <w:t xml:space="preserve">regarding its ecological footprint </w:t>
      </w:r>
      <w:r w:rsidR="00BD249A" w:rsidRPr="0040139C">
        <w:rPr>
          <w:rFonts w:cs="Arial"/>
          <w:i w:val="0"/>
          <w:color w:val="1F4E79" w:themeColor="accent1" w:themeShade="80"/>
        </w:rPr>
        <w:t xml:space="preserve">it </w:t>
      </w:r>
      <w:r w:rsidRPr="0040139C">
        <w:rPr>
          <w:rFonts w:cs="Arial"/>
          <w:i w:val="0"/>
          <w:color w:val="1F4E79" w:themeColor="accent1" w:themeShade="80"/>
        </w:rPr>
        <w:t xml:space="preserve">is ecologically </w:t>
      </w:r>
      <w:r w:rsidR="00CE2799" w:rsidRPr="00CE2799">
        <w:rPr>
          <w:rFonts w:eastAsiaTheme="minorEastAsia" w:cs="Arial"/>
          <w:i w:val="0"/>
          <w:iCs w:val="0"/>
          <w:color w:val="1F4E79" w:themeColor="accent1" w:themeShade="80"/>
          <w:lang w:eastAsia="en-GB"/>
        </w:rPr>
        <w:t>non-sustainable</w:t>
      </w:r>
      <w:r w:rsidR="00BD249A" w:rsidRPr="0040139C">
        <w:rPr>
          <w:rFonts w:cs="Arial"/>
          <w:i w:val="0"/>
          <w:color w:val="1F4E79" w:themeColor="accent1" w:themeShade="80"/>
        </w:rPr>
        <w:t xml:space="preserve"> </w:t>
      </w:r>
      <w:r w:rsidRPr="0040139C">
        <w:rPr>
          <w:rFonts w:cs="Arial"/>
          <w:i w:val="0"/>
          <w:color w:val="1F4E79" w:themeColor="accent1" w:themeShade="80"/>
        </w:rPr>
        <w:t>at global level</w:t>
      </w:r>
      <w:r w:rsidR="00BD249A" w:rsidRPr="0040139C">
        <w:rPr>
          <w:rFonts w:cs="Arial"/>
          <w:i w:val="0"/>
          <w:color w:val="1F4E79" w:themeColor="accent1" w:themeShade="80"/>
        </w:rPr>
        <w:t xml:space="preserve"> and </w:t>
      </w:r>
      <w:r w:rsidR="005F6310" w:rsidRPr="0040139C">
        <w:rPr>
          <w:rFonts w:cs="Arial"/>
          <w:i w:val="0"/>
          <w:color w:val="1F4E79" w:themeColor="accent1" w:themeShade="80"/>
        </w:rPr>
        <w:t xml:space="preserve">its present level of </w:t>
      </w:r>
      <w:r w:rsidR="00BD249A" w:rsidRPr="0040139C">
        <w:rPr>
          <w:rFonts w:cs="Arial"/>
          <w:i w:val="0"/>
          <w:color w:val="1F4E79" w:themeColor="accent1" w:themeShade="80"/>
        </w:rPr>
        <w:t>CO2 emissions</w:t>
      </w:r>
      <w:r w:rsidR="005F6310" w:rsidRPr="0040139C">
        <w:rPr>
          <w:rFonts w:cs="Arial"/>
          <w:i w:val="0"/>
          <w:color w:val="1F4E79" w:themeColor="accent1" w:themeShade="80"/>
        </w:rPr>
        <w:t xml:space="preserve"> is</w:t>
      </w:r>
      <w:r w:rsidR="00BD249A" w:rsidRPr="0040139C">
        <w:rPr>
          <w:rFonts w:cs="Arial"/>
          <w:i w:val="0"/>
          <w:color w:val="1F4E79" w:themeColor="accent1" w:themeShade="80"/>
        </w:rPr>
        <w:t xml:space="preserve"> </w:t>
      </w:r>
      <w:r w:rsidR="00CE2799" w:rsidRPr="00CE2799">
        <w:rPr>
          <w:rFonts w:eastAsiaTheme="minorEastAsia" w:cs="Arial"/>
          <w:i w:val="0"/>
          <w:iCs w:val="0"/>
          <w:color w:val="1F4E79" w:themeColor="accent1" w:themeShade="80"/>
          <w:lang w:eastAsia="en-GB"/>
        </w:rPr>
        <w:t>contributing to</w:t>
      </w:r>
      <w:r w:rsidR="00BD249A" w:rsidRPr="0040139C">
        <w:rPr>
          <w:rFonts w:cs="Arial"/>
          <w:i w:val="0"/>
          <w:color w:val="1F4E79" w:themeColor="accent1" w:themeShade="80"/>
        </w:rPr>
        <w:t xml:space="preserve"> global warming above 1.5 degrees during this century</w:t>
      </w:r>
      <w:r w:rsidRPr="0040139C">
        <w:rPr>
          <w:rFonts w:cs="Arial"/>
          <w:i w:val="0"/>
          <w:color w:val="1F4E79" w:themeColor="accent1" w:themeShade="80"/>
        </w:rPr>
        <w:t xml:space="preserve">. </w:t>
      </w:r>
      <w:r w:rsidR="00B86CD0" w:rsidRPr="0040139C">
        <w:rPr>
          <w:rFonts w:cs="Arial"/>
          <w:i w:val="0"/>
          <w:color w:val="1F4E79" w:themeColor="accent1" w:themeShade="80"/>
        </w:rPr>
        <w:t>T</w:t>
      </w:r>
      <w:r w:rsidRPr="0040139C">
        <w:rPr>
          <w:rFonts w:cs="Arial"/>
          <w:i w:val="0"/>
          <w:color w:val="1F4E79" w:themeColor="accent1" w:themeShade="80"/>
        </w:rPr>
        <w:t xml:space="preserve">he use of </w:t>
      </w:r>
      <w:r w:rsidR="005F6310" w:rsidRPr="0040139C">
        <w:rPr>
          <w:rFonts w:cs="Arial"/>
          <w:i w:val="0"/>
          <w:color w:val="1F4E79" w:themeColor="accent1" w:themeShade="80"/>
        </w:rPr>
        <w:t xml:space="preserve">natural </w:t>
      </w:r>
      <w:r w:rsidRPr="0040139C">
        <w:rPr>
          <w:rFonts w:cs="Arial"/>
          <w:i w:val="0"/>
          <w:color w:val="1F4E79" w:themeColor="accent1" w:themeShade="80"/>
        </w:rPr>
        <w:t xml:space="preserve">resources is </w:t>
      </w:r>
      <w:r w:rsidR="00CE2799" w:rsidRPr="00CE2799">
        <w:rPr>
          <w:rFonts w:eastAsiaTheme="minorEastAsia" w:cs="Arial"/>
          <w:i w:val="0"/>
          <w:iCs w:val="0"/>
          <w:color w:val="1F4E79" w:themeColor="accent1" w:themeShade="80"/>
          <w:lang w:eastAsia="en-GB"/>
        </w:rPr>
        <w:t>also</w:t>
      </w:r>
      <w:r w:rsidR="0018380D" w:rsidRPr="0040139C">
        <w:rPr>
          <w:rFonts w:cs="Arial"/>
          <w:i w:val="0"/>
          <w:color w:val="1F4E79" w:themeColor="accent1" w:themeShade="80"/>
        </w:rPr>
        <w:t xml:space="preserve"> </w:t>
      </w:r>
      <w:r w:rsidR="00CE2799" w:rsidRPr="00CE2799">
        <w:rPr>
          <w:rFonts w:eastAsiaTheme="minorEastAsia" w:cs="Arial"/>
          <w:i w:val="0"/>
          <w:iCs w:val="0"/>
          <w:color w:val="1F4E79" w:themeColor="accent1" w:themeShade="80"/>
          <w:lang w:eastAsia="en-GB"/>
        </w:rPr>
        <w:t>non-sustainable</w:t>
      </w:r>
      <w:r w:rsidR="00BD249A" w:rsidRPr="0040139C">
        <w:rPr>
          <w:rFonts w:cs="Arial"/>
          <w:i w:val="0"/>
          <w:color w:val="1F4E79" w:themeColor="accent1" w:themeShade="80"/>
        </w:rPr>
        <w:t xml:space="preserve"> </w:t>
      </w:r>
      <w:r w:rsidRPr="0040139C">
        <w:rPr>
          <w:rFonts w:cs="Arial"/>
          <w:i w:val="0"/>
          <w:color w:val="1F4E79" w:themeColor="accent1" w:themeShade="80"/>
        </w:rPr>
        <w:t>at national level.</w:t>
      </w:r>
      <w:r w:rsidR="00EB78B7" w:rsidRPr="0040139C">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241140">
        <w:fldChar w:fldCharType="begin"/>
      </w:r>
      <w:r w:rsidR="00241140">
        <w:instrText xml:space="preserve"> SEQ Figure \* ARABIC </w:instrText>
      </w:r>
      <w:r w:rsidR="00241140">
        <w:fldChar w:fldCharType="separate"/>
      </w:r>
      <w:r>
        <w:rPr>
          <w:noProof/>
        </w:rPr>
        <w:t>5</w:t>
      </w:r>
      <w:r w:rsidR="00241140">
        <w:rPr>
          <w:noProof/>
        </w:rPr>
        <w:fldChar w:fldCharType="end"/>
      </w:r>
      <w:r>
        <w:t xml:space="preserve"> </w:t>
      </w:r>
      <w:r w:rsidRPr="00E55A99">
        <w:t>GDP CV pcy vs international average, dignity and excess thresholds 1961-2020</w:t>
      </w:r>
    </w:p>
    <w:p w:rsidR="00AD744D" w:rsidRDefault="00241140" w:rsidP="00AD744D">
      <w:pPr>
        <w:jc w:val="center"/>
      </w:pPr>
      <w:r>
        <w:pict>
          <v:shape id="_x0000_i1031" type="#_x0000_t75" style="width:356.25pt;height:199.1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r w:rsidR="00CE2799" w:rsidRPr="00CE2799">
        <w:rPr>
          <w:rFonts w:eastAsiaTheme="minorEastAsia" w:cs="Arial"/>
          <w:iCs/>
          <w:szCs w:val="18"/>
          <w:lang w:eastAsia="en-GB"/>
        </w:rPr>
        <w:t>Armenia</w:t>
      </w:r>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CE2799" w:rsidRPr="00CE2799">
        <w:rPr>
          <w:rFonts w:eastAsiaTheme="minorEastAsia" w:cs="Arial"/>
          <w:iCs/>
          <w:szCs w:val="18"/>
          <w:lang w:eastAsia="en-GB"/>
        </w:rPr>
        <w:t>Armenia</w:t>
      </w:r>
      <w:r w:rsidR="00597E52" w:rsidRPr="00597E52">
        <w:rPr>
          <w:rFonts w:cs="Arial"/>
          <w:szCs w:val="18"/>
        </w:rPr>
        <w:t xml:space="preserve"> is $</w:t>
      </w:r>
      <w:r w:rsidR="00CE2799" w:rsidRPr="00CE2799">
        <w:rPr>
          <w:rFonts w:eastAsiaTheme="minorEastAsia" w:cs="Arial"/>
          <w:szCs w:val="18"/>
          <w:lang w:eastAsia="en-GB"/>
        </w:rPr>
        <w:t>12499414290</w:t>
      </w:r>
      <w:r w:rsidR="00597E52" w:rsidRPr="00597E52">
        <w:rPr>
          <w:rFonts w:cs="Arial"/>
          <w:szCs w:val="18"/>
        </w:rPr>
        <w:t xml:space="preserve">, </w:t>
      </w:r>
      <w:r w:rsidR="00CE2799" w:rsidRPr="00CE2799">
        <w:rPr>
          <w:rFonts w:eastAsiaTheme="minorEastAsia" w:cs="Arial"/>
          <w:i/>
          <w:iCs/>
          <w:szCs w:val="18"/>
          <w:lang w:eastAsia="en-GB"/>
        </w:rPr>
        <w:t>0.0153%</w:t>
      </w:r>
      <w:r w:rsidR="00597E52" w:rsidRPr="00597E52">
        <w:rPr>
          <w:rFonts w:cs="Arial"/>
          <w:szCs w:val="18"/>
        </w:rPr>
        <w:t xml:space="preserve"> of the world’s GDP (while being </w:t>
      </w:r>
      <w:r w:rsidR="00CE2799" w:rsidRPr="00CE2799">
        <w:rPr>
          <w:rFonts w:eastAsiaTheme="minorEastAsia" w:cs="Arial"/>
          <w:i/>
          <w:iCs/>
          <w:szCs w:val="18"/>
          <w:lang w:eastAsia="en-GB"/>
        </w:rPr>
        <w:t>0.0391%</w:t>
      </w:r>
      <w:r w:rsidR="00597E52" w:rsidRPr="00597E52">
        <w:rPr>
          <w:rFonts w:cs="Arial"/>
          <w:szCs w:val="18"/>
        </w:rPr>
        <w:t xml:space="preserve"> of the world’s population), which translates in GDP pc $</w:t>
      </w:r>
      <w:r w:rsidR="00CE2799" w:rsidRPr="00CE2799">
        <w:rPr>
          <w:rFonts w:eastAsiaTheme="minorEastAsia" w:cs="Arial"/>
          <w:szCs w:val="18"/>
          <w:lang w:eastAsia="en-GB"/>
        </w:rPr>
        <w:t>4148</w:t>
      </w:r>
      <w:r w:rsidR="00597E52" w:rsidRPr="00597E52">
        <w:rPr>
          <w:rFonts w:cs="Arial"/>
          <w:szCs w:val="18"/>
        </w:rPr>
        <w:t xml:space="preserve">pcy, as mentioned above, </w:t>
      </w:r>
      <w:r w:rsidR="00CE2799" w:rsidRPr="00CE2799">
        <w:rPr>
          <w:rFonts w:eastAsiaTheme="minorEastAsia" w:cs="Arial"/>
          <w:szCs w:val="18"/>
          <w:lang w:eastAsia="en-GB"/>
        </w:rPr>
        <w:t>38%</w:t>
      </w:r>
      <w:r w:rsidR="00597E52" w:rsidRPr="00597E52">
        <w:rPr>
          <w:rFonts w:cs="Arial"/>
          <w:szCs w:val="18"/>
        </w:rPr>
        <w:t xml:space="preserve"> of the international average and </w:t>
      </w:r>
      <w:r w:rsidR="00CE2799" w:rsidRPr="00CE2799">
        <w:rPr>
          <w:rFonts w:eastAsiaTheme="minorEastAsia" w:cs="Arial"/>
          <w:szCs w:val="18"/>
          <w:lang w:eastAsia="en-GB"/>
        </w:rPr>
        <w:t>106%</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241140" w:rsidP="00E2114C">
      <w:pPr>
        <w:jc w:val="center"/>
        <w:rPr>
          <w:rFonts w:cs="Arial"/>
        </w:rPr>
      </w:pPr>
      <w:r>
        <w:rPr>
          <w:rFonts w:cs="Arial"/>
        </w:rPr>
        <w:pict>
          <v:shape id="_x0000_i1032" type="#_x0000_t75" style="width:340.35pt;height:197.3pt">
            <v:imagedata r:id="rId15" o:title=""/>
          </v:shape>
        </w:pict>
      </w:r>
    </w:p>
    <w:p w:rsidR="0060009F" w:rsidRPr="00EA013D" w:rsidRDefault="0060009F" w:rsidP="006B5A81">
      <w:pPr>
        <w:rPr>
          <w:rFonts w:cs="Arial"/>
        </w:rPr>
      </w:pPr>
    </w:p>
    <w:p w:rsidR="009B5073" w:rsidRPr="00310104"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CE2799" w:rsidRPr="00CE2799">
        <w:rPr>
          <w:rFonts w:eastAsiaTheme="minorEastAsia" w:cs="Arial"/>
          <w:szCs w:val="18"/>
          <w:lang w:eastAsia="en-GB"/>
        </w:rPr>
        <w:t>Armenia</w:t>
      </w:r>
      <w:r w:rsidR="0071566C" w:rsidRPr="00310104">
        <w:rPr>
          <w:rFonts w:cs="Arial"/>
          <w:szCs w:val="18"/>
        </w:rPr>
        <w:t xml:space="preserve"> is </w:t>
      </w:r>
      <w:r w:rsidR="00CE2799" w:rsidRPr="00CE2799">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9251FF" w:rsidRPr="00504C4E" w:rsidRDefault="00740091" w:rsidP="0060009F">
      <w:pPr>
        <w:rPr>
          <w:rFonts w:cs="Arial"/>
          <w:szCs w:val="18"/>
        </w:rPr>
        <w:sectPr w:rsidR="009251FF" w:rsidRPr="00504C4E">
          <w:pgSz w:w="11906" w:h="16838"/>
          <w:pgMar w:top="1440" w:right="1440" w:bottom="1440" w:left="1440" w:header="708" w:footer="708" w:gutter="0"/>
          <w:cols w:space="708"/>
          <w:docGrid w:linePitch="360"/>
        </w:sectPr>
      </w:pPr>
      <w:r>
        <w:rPr>
          <w:rFonts w:cs="Arial"/>
          <w:szCs w:val="18"/>
        </w:rPr>
        <w:t>.</w:t>
      </w:r>
      <w:r w:rsidR="004728CB">
        <w:rPr>
          <w:rFonts w:cs="Arial"/>
          <w:szCs w:val="18"/>
        </w:rPr>
        <w:t xml:space="preserve">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CE2799" w:rsidRPr="00CE2799">
        <w:rPr>
          <w:rFonts w:eastAsiaTheme="minorEastAsia" w:cs="Arial"/>
          <w:szCs w:val="18"/>
          <w:lang w:eastAsia="en-GB"/>
        </w:rPr>
        <w:t>Armenia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241140" w:rsidP="00BE4F85">
      <w:pPr>
        <w:pStyle w:val="Caption"/>
        <w:keepNext/>
        <w:jc w:val="center"/>
        <w:rPr>
          <w:color w:val="1F4E79" w:themeColor="accent1" w:themeShade="80"/>
        </w:rPr>
      </w:pPr>
      <w:r>
        <w:rPr>
          <w:noProof/>
        </w:rPr>
        <w:pict>
          <v:shape id="_x0000_s1101" type="#_x0000_t75" style="position:absolute;left:0;text-align:left;margin-left:63.5pt;margin-top:16.65pt;width:536.55pt;height:227.15pt;z-index:251675648;mso-position-horizontal-relative:text;mso-position-vertical-relative:text">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CE2799" w:rsidRPr="00CE2799">
        <w:rPr>
          <w:rFonts w:eastAsiaTheme="minorEastAsia" w:cs="Arial"/>
          <w:szCs w:val="18"/>
          <w:lang w:eastAsia="en-GB"/>
        </w:rPr>
        <w:t>Armenia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CE2799" w:rsidRPr="00CE2799">
        <w:rPr>
          <w:rFonts w:eastAsiaTheme="minorEastAsia" w:cs="Arial"/>
          <w:szCs w:val="18"/>
          <w:lang w:eastAsia="en-GB"/>
        </w:rPr>
        <w:t>3.47</w:t>
      </w:r>
      <w:r w:rsidR="007B0146" w:rsidRPr="00C03058">
        <w:rPr>
          <w:rFonts w:cs="Arial"/>
          <w:szCs w:val="18"/>
        </w:rPr>
        <w:t xml:space="preserve"> </w:t>
      </w:r>
      <w:r w:rsidR="00CE2799" w:rsidRPr="00CE2799">
        <w:rPr>
          <w:rFonts w:eastAsiaTheme="minorEastAsia" w:cs="Arial"/>
          <w:szCs w:val="18"/>
          <w:lang w:eastAsia="en-GB"/>
        </w:rPr>
        <w:t>above</w:t>
      </w:r>
      <w:r w:rsidR="007B0146" w:rsidRPr="00C03058">
        <w:rPr>
          <w:rFonts w:cs="Arial"/>
          <w:szCs w:val="18"/>
        </w:rPr>
        <w:t xml:space="preserve"> the international average in women and </w:t>
      </w:r>
      <w:r w:rsidR="00CE2799" w:rsidRPr="00CE2799">
        <w:rPr>
          <w:rFonts w:eastAsiaTheme="minorEastAsia" w:cs="Arial"/>
          <w:szCs w:val="18"/>
          <w:lang w:eastAsia="en-GB"/>
        </w:rPr>
        <w:t>0.80</w:t>
      </w:r>
      <w:r w:rsidR="007B0146" w:rsidRPr="00C03058">
        <w:rPr>
          <w:rFonts w:cs="Arial"/>
          <w:szCs w:val="18"/>
        </w:rPr>
        <w:t xml:space="preserve"> </w:t>
      </w:r>
      <w:r w:rsidR="00CE2799" w:rsidRPr="00CE2799">
        <w:rPr>
          <w:rFonts w:eastAsiaTheme="minorEastAsia" w:cs="Arial"/>
          <w:szCs w:val="18"/>
          <w:lang w:eastAsia="en-GB"/>
        </w:rPr>
        <w:t>above</w:t>
      </w:r>
      <w:r w:rsidR="007B0146" w:rsidRPr="00C03058">
        <w:rPr>
          <w:rFonts w:cs="Arial"/>
          <w:szCs w:val="18"/>
        </w:rPr>
        <w:t xml:space="preserve"> in men, and </w:t>
      </w:r>
      <w:r w:rsidR="00CE2799" w:rsidRPr="00CE2799">
        <w:rPr>
          <w:rFonts w:eastAsiaTheme="minorEastAsia" w:cs="Arial"/>
          <w:szCs w:val="18"/>
          <w:lang w:eastAsia="en-GB"/>
        </w:rPr>
        <w:t>1.82</w:t>
      </w:r>
      <w:r w:rsidR="007B0146" w:rsidRPr="00C03058">
        <w:rPr>
          <w:rFonts w:cs="Arial"/>
          <w:szCs w:val="18"/>
        </w:rPr>
        <w:t xml:space="preserve"> years </w:t>
      </w:r>
      <w:r w:rsidR="00CE2799" w:rsidRPr="00CE2799">
        <w:rPr>
          <w:rFonts w:eastAsiaTheme="minorEastAsia" w:cs="Arial"/>
          <w:szCs w:val="18"/>
          <w:lang w:eastAsia="en-GB"/>
        </w:rPr>
        <w:t>below</w:t>
      </w:r>
      <w:r w:rsidR="007B0146" w:rsidRPr="00C03058">
        <w:rPr>
          <w:rFonts w:cs="Arial"/>
          <w:szCs w:val="18"/>
        </w:rPr>
        <w:t xml:space="preserve"> in women and </w:t>
      </w:r>
      <w:r w:rsidR="00CE2799" w:rsidRPr="00CE2799">
        <w:rPr>
          <w:rFonts w:eastAsiaTheme="minorEastAsia" w:cs="Arial"/>
          <w:szCs w:val="18"/>
          <w:lang w:eastAsia="en-GB"/>
        </w:rPr>
        <w:t>2.04</w:t>
      </w:r>
      <w:r w:rsidR="007B0146" w:rsidRPr="00C03058">
        <w:rPr>
          <w:rFonts w:cs="Arial"/>
          <w:szCs w:val="18"/>
        </w:rPr>
        <w:t xml:space="preserve"> </w:t>
      </w:r>
      <w:r w:rsidR="00CE2799" w:rsidRPr="00CE2799">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241140" w:rsidP="00E2114C">
      <w:pPr>
        <w:jc w:val="center"/>
      </w:pPr>
      <w:r>
        <w:pict>
          <v:shape id="_x0000_i1033" type="#_x0000_t75" style="width:323.55pt;height:204.8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CE2799" w:rsidRPr="00CE2799">
        <w:rPr>
          <w:rFonts w:eastAsiaTheme="minorEastAsia" w:cs="Arial"/>
          <w:szCs w:val="18"/>
          <w:lang w:eastAsia="en-GB"/>
        </w:rPr>
        <w:t>Armenia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CE2799" w:rsidRPr="00CE2799">
        <w:rPr>
          <w:rFonts w:eastAsiaTheme="minorEastAsia" w:cs="Arial"/>
          <w:szCs w:val="18"/>
          <w:lang w:eastAsia="en-GB"/>
        </w:rPr>
        <w:t>Armenia</w:t>
      </w:r>
      <w:r w:rsidR="001B1D52" w:rsidRPr="001B1D52">
        <w:rPr>
          <w:rFonts w:cs="Arial"/>
          <w:szCs w:val="18"/>
        </w:rPr>
        <w:t xml:space="preserve"> is </w:t>
      </w:r>
      <w:r w:rsidR="00CE2799" w:rsidRPr="00CE2799">
        <w:rPr>
          <w:rFonts w:eastAsiaTheme="minorEastAsia" w:cs="Arial"/>
          <w:szCs w:val="18"/>
          <w:lang w:eastAsia="en-GB"/>
        </w:rPr>
        <w:t>105%</w:t>
      </w:r>
      <w:r w:rsidR="001B1D52" w:rsidRPr="001B1D52">
        <w:rPr>
          <w:rFonts w:cs="Arial"/>
          <w:szCs w:val="18"/>
        </w:rPr>
        <w:t xml:space="preserve"> of the international average and </w:t>
      </w:r>
      <w:r w:rsidR="00CE2799" w:rsidRPr="00CE2799">
        <w:rPr>
          <w:rFonts w:eastAsiaTheme="minorEastAsia" w:cs="Arial"/>
          <w:szCs w:val="18"/>
          <w:lang w:eastAsia="en-GB"/>
        </w:rPr>
        <w:t>100%</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241140" w:rsidP="00E2114C">
      <w:pPr>
        <w:jc w:val="center"/>
      </w:pPr>
      <w:r>
        <w:pict>
          <v:shape id="_x0000_i1034" type="#_x0000_t75" style="width:324.45pt;height:205.7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241140" w:rsidP="00E2114C">
      <w:pPr>
        <w:jc w:val="center"/>
      </w:pPr>
      <w:r>
        <w:pict>
          <v:shape id="_x0000_i1035" type="#_x0000_t75" style="width:324.45pt;height:205.7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CE2799" w:rsidRPr="00CE2799">
        <w:rPr>
          <w:rFonts w:eastAsiaTheme="minorEastAsia" w:cs="Arial"/>
          <w:szCs w:val="18"/>
          <w:lang w:eastAsia="en-GB"/>
        </w:rPr>
        <w:t>Armenia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CE2799" w:rsidRPr="00CE2799">
        <w:rPr>
          <w:rFonts w:eastAsiaTheme="minorEastAsia" w:cs="Arial"/>
          <w:szCs w:val="18"/>
          <w:lang w:eastAsia="en-GB"/>
        </w:rPr>
        <w:t>7.15</w:t>
      </w:r>
      <w:r w:rsidR="003C7F9A" w:rsidRPr="001B1D52">
        <w:rPr>
          <w:rFonts w:cs="Arial"/>
          <w:szCs w:val="18"/>
        </w:rPr>
        <w:t xml:space="preserve"> years lower in men, which is </w:t>
      </w:r>
      <w:r w:rsidR="00CE2799" w:rsidRPr="00CE2799">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241140" w:rsidP="00E2114C">
      <w:pPr>
        <w:jc w:val="center"/>
      </w:pPr>
      <w:r>
        <w:pict>
          <v:shape id="_x0000_i1036" type="#_x0000_t75" style="width:540.45pt;height:229.1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CE2799" w:rsidRPr="00CE2799">
        <w:rPr>
          <w:rFonts w:eastAsiaTheme="minorEastAsia" w:cs="Arial"/>
          <w:szCs w:val="18"/>
          <w:lang w:eastAsia="en-GB"/>
        </w:rPr>
        <w:t>Armenia</w:t>
      </w:r>
      <w:bookmarkEnd w:id="4"/>
      <w:r w:rsidR="006A049C" w:rsidRPr="00AD744D">
        <w:rPr>
          <w:rFonts w:cs="Arial"/>
          <w:szCs w:val="18"/>
        </w:rPr>
        <w:t xml:space="preserve">, </w:t>
      </w:r>
      <w:r w:rsidR="00740091">
        <w:rPr>
          <w:rFonts w:cs="Arial"/>
          <w:szCs w:val="18"/>
        </w:rPr>
        <w:t xml:space="preserve">(with </w:t>
      </w:r>
      <w:r w:rsidR="00CE2799" w:rsidRPr="00CE2799">
        <w:rPr>
          <w:rFonts w:eastAsiaTheme="minorEastAsia" w:cs="Arial"/>
          <w:szCs w:val="18"/>
          <w:lang w:eastAsia="en-GB"/>
        </w:rPr>
        <w:t>106%</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CE2799" w:rsidRPr="00CE2799">
        <w:rPr>
          <w:rFonts w:eastAsiaTheme="minorEastAsia" w:cs="Arial"/>
          <w:szCs w:val="18"/>
          <w:lang w:eastAsia="en-GB"/>
        </w:rPr>
        <w:t>2385</w:t>
      </w:r>
      <w:r w:rsidR="00BC0230" w:rsidRPr="00AD744D">
        <w:rPr>
          <w:rFonts w:cs="Arial"/>
          <w:szCs w:val="18"/>
        </w:rPr>
        <w:t xml:space="preserve"> in women and </w:t>
      </w:r>
      <w:r w:rsidR="00CE2799" w:rsidRPr="00CE2799">
        <w:rPr>
          <w:rFonts w:eastAsiaTheme="minorEastAsia" w:cs="Arial"/>
          <w:szCs w:val="18"/>
          <w:lang w:eastAsia="en-GB"/>
        </w:rPr>
        <w:t>2856</w:t>
      </w:r>
      <w:r w:rsidR="001B1D52" w:rsidRPr="00AD744D">
        <w:rPr>
          <w:rFonts w:cs="Arial"/>
          <w:szCs w:val="18"/>
        </w:rPr>
        <w:t xml:space="preserve"> in men, a total of </w:t>
      </w:r>
      <w:r w:rsidR="00CE2799" w:rsidRPr="00CE2799">
        <w:rPr>
          <w:rFonts w:eastAsiaTheme="minorEastAsia" w:cs="Arial"/>
          <w:szCs w:val="18"/>
          <w:lang w:eastAsia="en-GB"/>
        </w:rPr>
        <w:t>5240</w:t>
      </w:r>
      <w:r w:rsidR="001B1D52" w:rsidRPr="00AD744D">
        <w:rPr>
          <w:rFonts w:cs="Arial"/>
          <w:szCs w:val="18"/>
        </w:rPr>
        <w:t xml:space="preserve">, which is </w:t>
      </w:r>
      <w:r w:rsidR="00CE2799" w:rsidRPr="00CE2799">
        <w:rPr>
          <w:rFonts w:eastAsiaTheme="minorEastAsia" w:cs="Arial"/>
          <w:i/>
          <w:iCs/>
          <w:szCs w:val="18"/>
          <w:lang w:eastAsia="en-GB"/>
        </w:rPr>
        <w:t>0.0326%</w:t>
      </w:r>
      <w:r w:rsidR="001B1D52" w:rsidRPr="00AD744D">
        <w:rPr>
          <w:rFonts w:cs="Arial"/>
          <w:szCs w:val="18"/>
        </w:rPr>
        <w:t xml:space="preserve"> of the world’s total (compared with</w:t>
      </w:r>
      <w:r w:rsidR="00AD744D" w:rsidRPr="00AD744D">
        <w:rPr>
          <w:rFonts w:cs="Arial"/>
          <w:szCs w:val="18"/>
        </w:rPr>
        <w:t xml:space="preserve"> </w:t>
      </w:r>
      <w:r w:rsidR="00CE2799" w:rsidRPr="00CE2799">
        <w:rPr>
          <w:rFonts w:eastAsiaTheme="minorEastAsia" w:cs="Arial"/>
          <w:szCs w:val="18"/>
          <w:lang w:eastAsia="en-GB"/>
        </w:rPr>
        <w:t>Armenia</w:t>
      </w:r>
      <w:r w:rsidR="00AD744D" w:rsidRPr="00AD744D">
        <w:rPr>
          <w:rFonts w:cs="Arial"/>
          <w:szCs w:val="18"/>
        </w:rPr>
        <w:t xml:space="preserve">’s </w:t>
      </w:r>
      <w:r w:rsidR="00CE2799" w:rsidRPr="00CE2799">
        <w:rPr>
          <w:rFonts w:eastAsiaTheme="minorEastAsia" w:cs="Arial"/>
          <w:i/>
          <w:iCs/>
          <w:szCs w:val="18"/>
          <w:lang w:eastAsia="en-GB"/>
        </w:rPr>
        <w:t>0.0391%</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241140" w:rsidP="00E2114C">
      <w:pPr>
        <w:jc w:val="center"/>
      </w:pPr>
      <w:r>
        <w:pict>
          <v:shape id="_x0000_i1037" type="#_x0000_t75" style="width:541.4pt;height:229.1pt">
            <v:imagedata r:id="rId21" o:title=""/>
          </v:shape>
        </w:pict>
      </w:r>
    </w:p>
    <w:p w:rsidR="004856C3" w:rsidRDefault="00F42602" w:rsidP="009B23E1">
      <w:r w:rsidRPr="00F42602">
        <w:rPr>
          <w:rFonts w:asciiTheme="minorHAnsi" w:hAnsiTheme="minorHAnsi"/>
          <w:color w:val="auto"/>
          <w:sz w:val="22"/>
        </w:rPr>
        <w:t>The above figure represents the age distribution of the excess mortality in reference to the HRS feasible-for-all levels. It reflects higher rates in under-5s</w:t>
      </w:r>
      <w:r w:rsidR="009B23E1">
        <w:rPr>
          <w:rFonts w:asciiTheme="minorHAnsi" w:hAnsiTheme="minorHAnsi"/>
          <w:color w:val="auto"/>
          <w:sz w:val="22"/>
        </w:rPr>
        <w:t>increasing with age in older than 40 years old.</w:t>
      </w:r>
      <w:r w:rsidR="009B23E1">
        <w:t xml:space="preserve"> </w:t>
      </w: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241140" w:rsidP="00E2114C">
      <w:pPr>
        <w:jc w:val="center"/>
      </w:pPr>
      <w:r>
        <w:pict>
          <v:shape id="_x0000_i1038" type="#_x0000_t75" style="width:553.55pt;height:234.7pt">
            <v:imagedata r:id="rId22"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CE2799" w:rsidRPr="00CE2799">
        <w:rPr>
          <w:rFonts w:eastAsiaTheme="minorEastAsia" w:cs="Arial"/>
          <w:szCs w:val="18"/>
          <w:lang w:eastAsia="en-GB"/>
        </w:rPr>
        <w:t>Armenia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CE2799" w:rsidRPr="00CE2799">
        <w:rPr>
          <w:rFonts w:eastAsiaTheme="minorEastAsia" w:cs="Arial"/>
          <w:szCs w:val="18"/>
          <w:lang w:eastAsia="en-GB"/>
        </w:rPr>
        <w:t>16.82%</w:t>
      </w:r>
      <w:r w:rsidR="00B871B1" w:rsidRPr="00B871B1">
        <w:rPr>
          <w:rFonts w:cs="Arial"/>
          <w:szCs w:val="18"/>
        </w:rPr>
        <w:t xml:space="preserve"> in women and </w:t>
      </w:r>
      <w:r w:rsidR="00CE2799" w:rsidRPr="00CE2799">
        <w:rPr>
          <w:rFonts w:eastAsiaTheme="minorEastAsia" w:cs="Arial"/>
          <w:szCs w:val="18"/>
          <w:lang w:eastAsia="en-GB"/>
        </w:rPr>
        <w:t>19.05%</w:t>
      </w:r>
      <w:r w:rsidR="00B871B1" w:rsidRPr="00B871B1">
        <w:rPr>
          <w:rFonts w:cs="Arial"/>
          <w:szCs w:val="18"/>
        </w:rPr>
        <w:t xml:space="preserve"> in men, an average of </w:t>
      </w:r>
      <w:r w:rsidR="00CE2799" w:rsidRPr="00CE2799">
        <w:rPr>
          <w:rFonts w:eastAsiaTheme="minorEastAsia" w:cs="Arial"/>
          <w:szCs w:val="18"/>
          <w:lang w:eastAsia="en-GB"/>
        </w:rPr>
        <w:t>17.94%</w:t>
      </w:r>
      <w:r w:rsidR="00B871B1" w:rsidRPr="00B871B1">
        <w:rPr>
          <w:rFonts w:cs="Arial"/>
          <w:szCs w:val="18"/>
        </w:rPr>
        <w:t xml:space="preserve">, </w:t>
      </w:r>
      <w:r w:rsidR="00CE2799" w:rsidRPr="00CE2799">
        <w:rPr>
          <w:rFonts w:eastAsiaTheme="minorEastAsia" w:cs="Arial"/>
          <w:szCs w:val="18"/>
          <w:lang w:eastAsia="en-GB"/>
        </w:rPr>
        <w:t>63%</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CD31B8" w:rsidP="00E2114C">
      <w:pPr>
        <w:jc w:val="center"/>
      </w:pPr>
    </w:p>
    <w:p w:rsidR="00362EE5" w:rsidRPr="00E963F0" w:rsidRDefault="00241140" w:rsidP="00E2114C">
      <w:pPr>
        <w:jc w:val="center"/>
      </w:pPr>
      <w:r>
        <w:pict>
          <v:shape id="_x0000_i1039" type="#_x0000_t75" style="width:540.45pt;height:230.05pt">
            <v:imagedata r:id="rId23"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share of excess mortality in reference to the HRS feasible-for-all levels and reveals, higher shares in under-</w:t>
      </w:r>
      <w:r>
        <w:rPr>
          <w:rFonts w:asciiTheme="minorHAnsi" w:hAnsiTheme="minorHAnsi"/>
          <w:color w:val="auto"/>
          <w:sz w:val="22"/>
        </w:rPr>
        <w:t>5</w:t>
      </w:r>
      <w:r w:rsidR="009B23E1">
        <w:rPr>
          <w:rFonts w:asciiTheme="minorHAnsi" w:hAnsiTheme="minorHAnsi"/>
          <w:color w:val="auto"/>
          <w:sz w:val="22"/>
        </w:rPr>
        <w:t>s, in young men 10-20 years and in adults older than 40 years</w:t>
      </w:r>
      <w:r w:rsidRPr="00F42602">
        <w:rPr>
          <w:rFonts w:asciiTheme="minorHAnsi" w:hAnsiTheme="minorHAnsi"/>
          <w:color w:val="auto"/>
          <w:sz w:val="22"/>
        </w:rPr>
        <w:t>.</w:t>
      </w:r>
    </w:p>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CE6239" w:rsidP="00E2114C">
      <w:pPr>
        <w:jc w:val="center"/>
      </w:pPr>
      <w:r>
        <w:rPr>
          <w:noProof/>
          <w:lang w:eastAsia="en-GB"/>
        </w:rPr>
        <w:drawing>
          <wp:inline distT="0" distB="0" distL="0" distR="0" wp14:anchorId="5AFA753F">
            <wp:extent cx="7559675" cy="332232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59675" cy="3322320"/>
                    </a:xfrm>
                    <a:prstGeom prst="rect">
                      <a:avLst/>
                    </a:prstGeom>
                    <a:noFill/>
                  </pic:spPr>
                </pic:pic>
              </a:graphicData>
            </a:graphic>
          </wp:inline>
        </w:drawing>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CE2799" w:rsidRPr="00CE2799">
        <w:rPr>
          <w:rFonts w:eastAsiaTheme="minorEastAsia" w:cs="Arial"/>
          <w:szCs w:val="18"/>
          <w:lang w:eastAsia="en-GB"/>
        </w:rPr>
        <w:t>Armenia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CE2799" w:rsidRPr="00CE2799">
        <w:rPr>
          <w:rFonts w:eastAsiaTheme="minorEastAsia" w:cs="Arial"/>
          <w:szCs w:val="18"/>
          <w:lang w:eastAsia="en-GB"/>
        </w:rPr>
        <w:t>34.88%</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CE2799" w:rsidRPr="00CE2799">
        <w:rPr>
          <w:rFonts w:eastAsiaTheme="minorEastAsia" w:cs="Arial"/>
          <w:szCs w:val="18"/>
          <w:lang w:eastAsia="en-GB"/>
        </w:rPr>
        <w:t>Armenia</w:t>
      </w:r>
      <w:r w:rsidR="00B871B1" w:rsidRPr="00F15F93">
        <w:rPr>
          <w:rFonts w:cs="Arial"/>
          <w:szCs w:val="18"/>
        </w:rPr>
        <w:t xml:space="preserve"> and in the best SEW country (Costa Rica). It stands today at </w:t>
      </w:r>
      <w:r w:rsidR="00CE2799" w:rsidRPr="00CE2799">
        <w:rPr>
          <w:rFonts w:eastAsiaTheme="minorEastAsia" w:cs="Arial"/>
          <w:szCs w:val="18"/>
          <w:lang w:eastAsia="en-GB"/>
        </w:rPr>
        <w:t>5588</w:t>
      </w:r>
      <w:r w:rsidR="00B871B1" w:rsidRPr="00F15F93">
        <w:rPr>
          <w:rFonts w:cs="Arial"/>
          <w:szCs w:val="18"/>
        </w:rPr>
        <w:t xml:space="preserve"> in women and </w:t>
      </w:r>
      <w:r w:rsidR="00CE2799" w:rsidRPr="00CE2799">
        <w:rPr>
          <w:rFonts w:eastAsiaTheme="minorEastAsia" w:cs="Arial"/>
          <w:szCs w:val="18"/>
          <w:lang w:eastAsia="en-GB"/>
        </w:rPr>
        <w:t>6604</w:t>
      </w:r>
      <w:r w:rsidR="00B871B1" w:rsidRPr="00F15F93">
        <w:rPr>
          <w:rFonts w:cs="Arial"/>
          <w:szCs w:val="18"/>
        </w:rPr>
        <w:t xml:space="preserve"> in men, totalling </w:t>
      </w:r>
      <w:r w:rsidR="00CE2799" w:rsidRPr="00CE2799">
        <w:rPr>
          <w:rFonts w:eastAsiaTheme="minorEastAsia" w:cs="Arial"/>
          <w:szCs w:val="18"/>
          <w:lang w:eastAsia="en-GB"/>
        </w:rPr>
        <w:t>11785</w:t>
      </w:r>
      <w:r w:rsidR="00B871B1" w:rsidRPr="00F15F93">
        <w:rPr>
          <w:rFonts w:cs="Arial"/>
          <w:szCs w:val="18"/>
        </w:rPr>
        <w:t xml:space="preserve"> excess deaths (</w:t>
      </w:r>
      <w:r w:rsidR="00CE2799" w:rsidRPr="00CE2799">
        <w:rPr>
          <w:rFonts w:eastAsiaTheme="minorEastAsia" w:cs="Arial"/>
          <w:i/>
          <w:iCs/>
          <w:szCs w:val="18"/>
          <w:lang w:eastAsia="en-GB"/>
        </w:rPr>
        <w:t>0.0525%</w:t>
      </w:r>
      <w:r w:rsidR="00B871B1" w:rsidRPr="00F15F93">
        <w:rPr>
          <w:rFonts w:cs="Arial"/>
          <w:szCs w:val="18"/>
        </w:rPr>
        <w:t xml:space="preserve"> of the world’s total burden ref. best SEW vs. </w:t>
      </w:r>
      <w:r w:rsidR="00F15F93" w:rsidRPr="00F15F93">
        <w:rPr>
          <w:rFonts w:cs="Arial"/>
          <w:szCs w:val="18"/>
        </w:rPr>
        <w:t xml:space="preserve">being </w:t>
      </w:r>
      <w:r w:rsidR="00CE2799" w:rsidRPr="00CE2799">
        <w:rPr>
          <w:rFonts w:eastAsiaTheme="minorEastAsia" w:cs="Arial"/>
          <w:i/>
          <w:iCs/>
          <w:szCs w:val="18"/>
          <w:lang w:eastAsia="en-GB"/>
        </w:rPr>
        <w:t>0.0391%</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241140" w:rsidP="00E2114C">
      <w:pPr>
        <w:jc w:val="center"/>
      </w:pPr>
      <w:r>
        <w:pict>
          <v:shape id="_x0000_i1040" type="#_x0000_t75" style="width:541.4pt;height:228.15pt">
            <v:imagedata r:id="rId25" o:title=""/>
          </v:shape>
        </w:pict>
      </w:r>
    </w:p>
    <w:p w:rsidR="00F15F93" w:rsidRPr="00F42602" w:rsidRDefault="00F42602" w:rsidP="00F15F93">
      <w:pPr>
        <w:rPr>
          <w:rFonts w:asciiTheme="minorHAnsi" w:hAnsiTheme="minorHAnsi"/>
          <w:color w:val="auto"/>
          <w:sz w:val="22"/>
        </w:rPr>
        <w:sectPr w:rsidR="00F15F93" w:rsidRPr="00F42602" w:rsidSect="008E76BB">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 xml:space="preserve">The above figure represents the age distribution of the excess mortality in reference to the best SEW reference. It reflects </w:t>
      </w:r>
      <w:r>
        <w:rPr>
          <w:rFonts w:asciiTheme="minorHAnsi" w:hAnsiTheme="minorHAnsi"/>
          <w:color w:val="auto"/>
          <w:sz w:val="22"/>
        </w:rPr>
        <w:t>some excess mortality in under 5s growi</w:t>
      </w:r>
      <w:r w:rsidR="009B23E1">
        <w:rPr>
          <w:rFonts w:asciiTheme="minorHAnsi" w:hAnsiTheme="minorHAnsi"/>
          <w:color w:val="auto"/>
          <w:sz w:val="22"/>
        </w:rPr>
        <w:t>ng rates with ages older than 45</w:t>
      </w:r>
      <w:r>
        <w:rPr>
          <w:rFonts w:asciiTheme="minorHAnsi" w:hAnsiTheme="minorHAnsi"/>
          <w:color w:val="auto"/>
          <w:sz w:val="22"/>
        </w:rPr>
        <w:t xml:space="preserve">, steeper in </w:t>
      </w:r>
      <w:r w:rsidR="009B23E1">
        <w:rPr>
          <w:rFonts w:asciiTheme="minorHAnsi" w:hAnsiTheme="minorHAnsi"/>
          <w:color w:val="auto"/>
          <w:sz w:val="22"/>
        </w:rPr>
        <w:t>wo</w:t>
      </w:r>
      <w:r>
        <w:rPr>
          <w:rFonts w:asciiTheme="minorHAnsi" w:hAnsiTheme="minorHAnsi"/>
          <w:color w:val="auto"/>
          <w:sz w:val="22"/>
        </w:rPr>
        <w:t>men.</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241140" w:rsidP="00251CC5">
      <w:pPr>
        <w:jc w:val="center"/>
      </w:pPr>
      <w:r>
        <w:pict>
          <v:shape id="_x0000_i1041" type="#_x0000_t75" style="width:540.45pt;height:228.1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CE2799" w:rsidRPr="00CE2799">
        <w:rPr>
          <w:rFonts w:eastAsiaTheme="minorEastAsia" w:cs="Arial"/>
          <w:szCs w:val="18"/>
          <w:lang w:eastAsia="en-GB"/>
        </w:rPr>
        <w:t>40.41%</w:t>
      </w:r>
      <w:r w:rsidR="008E462D" w:rsidRPr="008E462D">
        <w:rPr>
          <w:rFonts w:cs="Arial"/>
          <w:szCs w:val="18"/>
        </w:rPr>
        <w:t xml:space="preserve"> (</w:t>
      </w:r>
      <w:r w:rsidR="00CE2799" w:rsidRPr="00CE2799">
        <w:rPr>
          <w:rFonts w:eastAsiaTheme="minorEastAsia" w:cs="Arial"/>
          <w:szCs w:val="18"/>
          <w:lang w:eastAsia="en-GB"/>
        </w:rPr>
        <w:t>102%</w:t>
      </w:r>
      <w:r w:rsidR="008E462D" w:rsidRPr="008E462D">
        <w:rPr>
          <w:rFonts w:cs="Arial"/>
          <w:szCs w:val="18"/>
        </w:rPr>
        <w:t xml:space="preserve"> of the world’s level-close to 40%-), </w:t>
      </w:r>
      <w:r w:rsidR="00CE2799" w:rsidRPr="00CE2799">
        <w:rPr>
          <w:rFonts w:eastAsiaTheme="minorEastAsia" w:cs="Arial"/>
          <w:szCs w:val="18"/>
          <w:lang w:eastAsia="en-GB"/>
        </w:rPr>
        <w:t>39.42%</w:t>
      </w:r>
      <w:r w:rsidR="008E462D" w:rsidRPr="008E462D">
        <w:rPr>
          <w:rFonts w:cs="Arial"/>
          <w:szCs w:val="18"/>
        </w:rPr>
        <w:t xml:space="preserve"> in women and </w:t>
      </w:r>
      <w:r w:rsidR="00CE2799" w:rsidRPr="00CE2799">
        <w:rPr>
          <w:rFonts w:eastAsiaTheme="minorEastAsia" w:cs="Arial"/>
          <w:szCs w:val="18"/>
          <w:lang w:eastAsia="en-GB"/>
        </w:rPr>
        <w:t>44.06%</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rBHiE 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241140" w:rsidP="00A82EF0">
      <w:pPr>
        <w:jc w:val="center"/>
      </w:pPr>
      <w:r>
        <w:pict>
          <v:shape id="_x0000_i1042" type="#_x0000_t75" style="width:566.65pt;height:220.7pt">
            <v:imagedata r:id="rId27"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under-</w:t>
      </w:r>
      <w:r w:rsidR="00377557">
        <w:rPr>
          <w:rFonts w:asciiTheme="minorHAnsi" w:hAnsiTheme="minorHAnsi"/>
          <w:color w:val="auto"/>
          <w:sz w:val="22"/>
        </w:rPr>
        <w:t>5</w:t>
      </w:r>
      <w:r w:rsidR="009B23E1">
        <w:rPr>
          <w:rFonts w:asciiTheme="minorHAnsi" w:hAnsiTheme="minorHAnsi"/>
          <w:color w:val="auto"/>
          <w:sz w:val="22"/>
        </w:rPr>
        <w:t xml:space="preserve"> girls and under-15 boys</w:t>
      </w:r>
      <w:r w:rsidRPr="00F42602">
        <w:rPr>
          <w:rFonts w:asciiTheme="minorHAnsi" w:hAnsiTheme="minorHAnsi"/>
          <w:color w:val="auto"/>
          <w:sz w:val="22"/>
        </w:rPr>
        <w:t xml:space="preserve"> and</w:t>
      </w:r>
      <w:r w:rsidR="009B23E1">
        <w:rPr>
          <w:rFonts w:asciiTheme="minorHAnsi" w:hAnsiTheme="minorHAnsi"/>
          <w:color w:val="auto"/>
          <w:sz w:val="22"/>
        </w:rPr>
        <w:t xml:space="preserve"> in all age groups older than 45, more so in </w:t>
      </w:r>
      <w:r w:rsidRPr="00F42602">
        <w:rPr>
          <w:rFonts w:asciiTheme="minorHAnsi" w:hAnsiTheme="minorHAnsi"/>
          <w:color w:val="auto"/>
          <w:sz w:val="22"/>
        </w:rPr>
        <w:t>men.</w:t>
      </w:r>
    </w:p>
    <w:p w:rsidR="00A82EF0" w:rsidRDefault="00A82EF0" w:rsidP="00A82EF0">
      <w:r>
        <w:br w:type="page"/>
      </w:r>
    </w:p>
    <w:p w:rsidR="00A82EF0" w:rsidRDefault="00A82EF0" w:rsidP="00A82EF0">
      <w:pPr>
        <w:jc w:val="center"/>
      </w:pPr>
    </w:p>
    <w:p w:rsidR="00D90AA8" w:rsidRPr="00E963F0" w:rsidRDefault="00A82EF0" w:rsidP="00A82EF0">
      <w:pPr>
        <w:pStyle w:val="Heading2"/>
      </w:pPr>
      <w:r>
        <w:t xml:space="preserve">Sustainable and Equitable Wellbeing </w:t>
      </w:r>
      <w:r w:rsidR="003B32B1">
        <w:t xml:space="preserve">(SEW) </w:t>
      </w:r>
      <w:r>
        <w:t>index</w:t>
      </w:r>
    </w:p>
    <w:p w:rsidR="00D90AA8" w:rsidRPr="00E963F0" w:rsidRDefault="00D90AA8"/>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CE2799" w:rsidRPr="00692E2C" w:rsidRDefault="00CE2799" w:rsidP="005C4322">
                            <w:pPr>
                              <w:pStyle w:val="Caption"/>
                              <w:rPr>
                                <w:noProof/>
                              </w:rPr>
                            </w:pPr>
                            <w:r>
                              <w:t xml:space="preserve">Figure </w:t>
                            </w:r>
                            <w:r w:rsidR="00241140">
                              <w:fldChar w:fldCharType="begin"/>
                            </w:r>
                            <w:r w:rsidR="00241140">
                              <w:instrText xml:space="preserve"> SEQ Figure \* ARABIC </w:instrText>
                            </w:r>
                            <w:r w:rsidR="00241140">
                              <w:fldChar w:fldCharType="separate"/>
                            </w:r>
                            <w:r>
                              <w:rPr>
                                <w:noProof/>
                              </w:rPr>
                              <w:t>23</w:t>
                            </w:r>
                            <w:r w:rsidR="00241140">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CE2799" w:rsidRPr="00692E2C" w:rsidRDefault="00CE2799"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4607FC">
      <w:r w:rsidRPr="00E963F0">
        <w:t xml:space="preserve">Figure </w:t>
      </w:r>
      <w:r w:rsidR="00241140">
        <w:fldChar w:fldCharType="begin"/>
      </w:r>
      <w:r w:rsidR="00241140">
        <w:instrText xml:space="preserve"> SEQ Figure \* ARABIC </w:instrText>
      </w:r>
      <w:r w:rsidR="00241140">
        <w:fldChar w:fldCharType="separate"/>
      </w:r>
      <w:r w:rsidR="00AD744D">
        <w:rPr>
          <w:noProof/>
        </w:rPr>
        <w:t>24</w:t>
      </w:r>
      <w:r w:rsidR="00241140">
        <w:rPr>
          <w:noProof/>
        </w:rPr>
        <w:fldChar w:fldCharType="end"/>
      </w:r>
      <w:r w:rsidRPr="00E963F0">
        <w:t>Sustainable and equitable wellbeing index, 1961-2020</w:t>
      </w:r>
    </w:p>
    <w:p w:rsidR="00D90AA8" w:rsidRPr="00E963F0" w:rsidRDefault="00241140" w:rsidP="004607FC">
      <w:pPr>
        <w:pStyle w:val="Caption"/>
        <w:rPr>
          <w:color w:val="1F4E79" w:themeColor="accent1" w:themeShade="80"/>
        </w:rPr>
      </w:pPr>
      <w:r>
        <w:rPr>
          <w:noProof/>
        </w:rPr>
        <w:pict>
          <v:shape id="_x0000_s1100" type="#_x0000_t75" style="position:absolute;margin-left:-39.3pt;margin-top:13.05pt;width:168.5pt;height:189.4pt;z-index:251673600;mso-position-horizontal-relative:text;mso-position-vertical-relative:text">
            <v:imagedata r:id="rId28" o:title=""/>
            <w10:wrap type="square"/>
          </v:shape>
        </w:pict>
      </w:r>
      <w:r>
        <w:rPr>
          <w:noProof/>
          <w:color w:val="1F4E79" w:themeColor="accent1" w:themeShade="80"/>
        </w:rPr>
        <w:pict>
          <v:shape id="_x0000_s1099" type="#_x0000_t75" style="position:absolute;margin-left:151.1pt;margin-top:8.9pt;width:513.8pt;height:226.95pt;z-index:251671552;mso-position-horizontal-relative:text;mso-position-vertical-relative:text">
            <v:imagedata r:id="rId29" o:title=""/>
            <w10:wrap type="square"/>
          </v:shape>
        </w:pict>
      </w:r>
    </w:p>
    <w:p w:rsidR="00D90AA8" w:rsidRDefault="00D90AA8"/>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CE2799" w:rsidRPr="00CE2799">
        <w:rPr>
          <w:rFonts w:eastAsiaTheme="minorEastAsia" w:cs="Arial"/>
          <w:szCs w:val="18"/>
          <w:lang w:eastAsia="en-GB"/>
        </w:rPr>
        <w:t>Armenia</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CE2799" w:rsidRPr="00CE2799">
        <w:rPr>
          <w:rFonts w:eastAsiaTheme="minorEastAsia" w:cs="Arial"/>
          <w:szCs w:val="18"/>
          <w:lang w:eastAsia="en-GB"/>
        </w:rPr>
        <w:t>-0.04</w:t>
      </w:r>
      <w:r w:rsidR="00EB1DC5" w:rsidRPr="00C8195B">
        <w:rPr>
          <w:rFonts w:cs="Arial"/>
          <w:szCs w:val="18"/>
        </w:rPr>
        <w:t xml:space="preserve"> impact through excess carbon emissions and </w:t>
      </w:r>
      <w:r w:rsidR="00CE2799" w:rsidRPr="00CE2799">
        <w:rPr>
          <w:rFonts w:eastAsiaTheme="minorEastAsia" w:cs="Arial"/>
          <w:szCs w:val="18"/>
          <w:lang w:eastAsia="en-GB"/>
        </w:rPr>
        <w:t>0.00</w:t>
      </w:r>
      <w:r w:rsidR="00EB1DC5" w:rsidRPr="00C8195B">
        <w:rPr>
          <w:rFonts w:cs="Arial"/>
          <w:szCs w:val="18"/>
        </w:rPr>
        <w:t xml:space="preserve"> by excess income, it stands today at </w:t>
      </w:r>
      <w:r w:rsidR="00CE2799" w:rsidRPr="00CE2799">
        <w:rPr>
          <w:rFonts w:eastAsiaTheme="minorEastAsia" w:cs="Arial"/>
          <w:szCs w:val="18"/>
          <w:lang w:eastAsia="en-GB"/>
        </w:rPr>
        <w:t>74.58</w:t>
      </w:r>
      <w:r w:rsidR="00EB1DC5" w:rsidRPr="00C8195B">
        <w:rPr>
          <w:rFonts w:cs="Arial"/>
          <w:szCs w:val="18"/>
        </w:rPr>
        <w:t xml:space="preserve"> life years, and ranks </w:t>
      </w:r>
      <w:r w:rsidR="00CE2799" w:rsidRPr="00CE2799">
        <w:rPr>
          <w:rFonts w:eastAsiaTheme="minorEastAsia" w:cs="Arial"/>
          <w:szCs w:val="18"/>
          <w:lang w:eastAsia="en-GB"/>
        </w:rPr>
        <w:t>45</w:t>
      </w:r>
      <w:r w:rsidR="00EB1DC5" w:rsidRPr="00C8195B">
        <w:rPr>
          <w:rFonts w:cs="Arial"/>
          <w:szCs w:val="18"/>
        </w:rPr>
        <w:t xml:space="preserve"> in the world, </w:t>
      </w:r>
      <w:r w:rsidR="00CE2799" w:rsidRPr="00CE2799">
        <w:rPr>
          <w:rFonts w:eastAsiaTheme="minorEastAsia" w:cs="Arial"/>
          <w:szCs w:val="18"/>
          <w:lang w:eastAsia="en-GB"/>
        </w:rPr>
        <w:t>36</w:t>
      </w:r>
      <w:r w:rsidR="00EB1DC5" w:rsidRPr="00C8195B">
        <w:rPr>
          <w:rFonts w:cs="Arial"/>
          <w:szCs w:val="18"/>
        </w:rPr>
        <w:t xml:space="preserve"> positions </w:t>
      </w:r>
      <w:r w:rsidR="00CE2799" w:rsidRPr="00CE2799">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CE2799" w:rsidRDefault="00CE2799" w:rsidP="00AF4B75">
                            <w:pPr>
                              <w:widowControl w:val="0"/>
                              <w:spacing w:after="0"/>
                              <w:rPr>
                                <w:rFonts w:cs="Arial"/>
                                <w:szCs w:val="18"/>
                              </w:rPr>
                            </w:pPr>
                            <w:r w:rsidRPr="004E516E">
                              <w:rPr>
                                <w:rFonts w:cs="Arial"/>
                                <w:szCs w:val="18"/>
                              </w:rPr>
                              <w:t xml:space="preserve">In summary, the equity profile of </w:t>
                            </w:r>
                            <w:r w:rsidRPr="00CE2799">
                              <w:rPr>
                                <w:rFonts w:eastAsiaTheme="minorEastAsia" w:cs="Arial"/>
                                <w:szCs w:val="18"/>
                                <w:lang w:eastAsia="en-GB"/>
                              </w:rPr>
                              <w:t>Armenia</w:t>
                            </w:r>
                            <w:r w:rsidRPr="004E516E">
                              <w:rPr>
                                <w:rFonts w:cs="Arial"/>
                                <w:szCs w:val="18"/>
                              </w:rPr>
                              <w:t xml:space="preserve">, reveals that with </w:t>
                            </w:r>
                            <w:r w:rsidRPr="00CE2799">
                              <w:rPr>
                                <w:rFonts w:eastAsiaTheme="minorEastAsia" w:cs="Arial"/>
                                <w:szCs w:val="18"/>
                                <w:lang w:eastAsia="en-GB"/>
                              </w:rPr>
                              <w:t>49%</w:t>
                            </w:r>
                            <w:r w:rsidRPr="004E516E">
                              <w:rPr>
                                <w:rFonts w:cs="Arial"/>
                                <w:szCs w:val="18"/>
                              </w:rPr>
                              <w:t xml:space="preserve"> of the world average bio capacity pcy, its ecological footprint is </w:t>
                            </w:r>
                            <w:r w:rsidRPr="00CE2799">
                              <w:rPr>
                                <w:rFonts w:eastAsiaTheme="minorEastAsia" w:cs="Arial"/>
                                <w:szCs w:val="18"/>
                                <w:lang w:eastAsia="en-GB"/>
                              </w:rPr>
                              <w:t>119%</w:t>
                            </w:r>
                            <w:r w:rsidRPr="004E516E">
                              <w:rPr>
                                <w:rFonts w:cs="Arial"/>
                                <w:szCs w:val="18"/>
                              </w:rPr>
                              <w:t xml:space="preserve"> of the global recycling threshold (</w:t>
                            </w:r>
                            <w:r w:rsidRPr="00CE2799">
                              <w:rPr>
                                <w:rFonts w:eastAsiaTheme="minorEastAsia" w:cs="Arial"/>
                                <w:szCs w:val="18"/>
                                <w:lang w:eastAsia="en-GB"/>
                              </w:rPr>
                              <w:t>non-sustainable</w:t>
                            </w:r>
                            <w:r w:rsidRPr="004E516E">
                              <w:rPr>
                                <w:rFonts w:cs="Arial"/>
                                <w:szCs w:val="18"/>
                              </w:rPr>
                              <w:t xml:space="preserve">) and </w:t>
                            </w:r>
                            <w:r w:rsidRPr="00CE2799">
                              <w:rPr>
                                <w:rFonts w:eastAsiaTheme="minorEastAsia" w:cs="Arial"/>
                                <w:iCs/>
                                <w:lang w:eastAsia="en-GB"/>
                              </w:rPr>
                              <w:t>also</w:t>
                            </w:r>
                            <w:r w:rsidRPr="00AF4B75">
                              <w:rPr>
                                <w:rFonts w:cs="Arial"/>
                                <w:szCs w:val="18"/>
                              </w:rPr>
                              <w:t xml:space="preserve"> </w:t>
                            </w:r>
                            <w:r w:rsidRPr="00CE2799">
                              <w:rPr>
                                <w:rFonts w:eastAsiaTheme="minorEastAsia" w:cs="Arial"/>
                                <w:szCs w:val="18"/>
                                <w:lang w:eastAsia="en-GB"/>
                              </w:rPr>
                              <w:t>244%</w:t>
                            </w:r>
                            <w:r w:rsidRPr="004E516E">
                              <w:rPr>
                                <w:rFonts w:cs="Arial"/>
                                <w:szCs w:val="18"/>
                              </w:rPr>
                              <w:t xml:space="preserve"> of its national recycling capacity (</w:t>
                            </w:r>
                            <w:r w:rsidRPr="00CE2799">
                              <w:rPr>
                                <w:rFonts w:eastAsiaTheme="minorEastAsia" w:cs="Arial"/>
                                <w:szCs w:val="18"/>
                                <w:lang w:eastAsia="en-GB"/>
                              </w:rPr>
                              <w:t>non-sustainable</w:t>
                            </w:r>
                            <w:r w:rsidRPr="004E516E">
                              <w:rPr>
                                <w:rFonts w:cs="Arial"/>
                                <w:szCs w:val="18"/>
                              </w:rPr>
                              <w:t xml:space="preserve">). The level of CO2 emissions pcy is </w:t>
                            </w:r>
                            <w:r w:rsidRPr="00CE2799">
                              <w:rPr>
                                <w:rFonts w:eastAsiaTheme="minorEastAsia" w:cs="Arial"/>
                                <w:szCs w:val="18"/>
                                <w:lang w:eastAsia="en-GB"/>
                              </w:rPr>
                              <w:t>106%</w:t>
                            </w:r>
                            <w:r w:rsidRPr="004E516E">
                              <w:rPr>
                                <w:rFonts w:cs="Arial"/>
                                <w:szCs w:val="18"/>
                              </w:rPr>
                              <w:t xml:space="preserve"> of the ethical threshold, therefore </w:t>
                            </w:r>
                            <w:r w:rsidRPr="00CE2799">
                              <w:rPr>
                                <w:rFonts w:eastAsiaTheme="minorEastAsia" w:cs="Arial"/>
                                <w:szCs w:val="18"/>
                                <w:lang w:eastAsia="en-GB"/>
                              </w:rPr>
                              <w:t>contributing to</w:t>
                            </w:r>
                            <w:r w:rsidRPr="004E516E">
                              <w:rPr>
                                <w:rFonts w:cs="Arial"/>
                                <w:szCs w:val="18"/>
                              </w:rPr>
                              <w:t xml:space="preserve"> global warming. </w:t>
                            </w:r>
                            <w:r w:rsidRPr="00CE2799">
                              <w:rPr>
                                <w:rFonts w:cs="Arial"/>
                                <w:szCs w:val="18"/>
                              </w:rPr>
                              <w:t>Armenia</w:t>
                            </w:r>
                            <w:r w:rsidRPr="004E516E">
                              <w:rPr>
                                <w:rFonts w:cs="Arial"/>
                                <w:szCs w:val="18"/>
                              </w:rPr>
                              <w:t xml:space="preserve">’s GDP CV pc is </w:t>
                            </w:r>
                            <w:r w:rsidRPr="00CE2799">
                              <w:rPr>
                                <w:rFonts w:eastAsiaTheme="minorEastAsia" w:cs="Arial"/>
                                <w:szCs w:val="18"/>
                                <w:lang w:eastAsia="en-GB"/>
                              </w:rPr>
                              <w:t>38%</w:t>
                            </w:r>
                            <w:r w:rsidRPr="004E516E">
                              <w:rPr>
                                <w:rFonts w:cs="Arial"/>
                                <w:szCs w:val="18"/>
                              </w:rPr>
                              <w:t xml:space="preserve"> of the international average and </w:t>
                            </w:r>
                            <w:r w:rsidRPr="00CE2799">
                              <w:rPr>
                                <w:rFonts w:eastAsiaTheme="minorEastAsia" w:cs="Arial"/>
                                <w:szCs w:val="18"/>
                                <w:lang w:eastAsia="en-GB"/>
                              </w:rPr>
                              <w:t>106%</w:t>
                            </w:r>
                            <w:r w:rsidRPr="004E516E">
                              <w:rPr>
                                <w:rFonts w:cs="Arial"/>
                                <w:szCs w:val="18"/>
                              </w:rPr>
                              <w:t xml:space="preserve"> of the HRS reference. Life expectancy is </w:t>
                            </w:r>
                            <w:r w:rsidRPr="00CE2799">
                              <w:rPr>
                                <w:rFonts w:eastAsiaTheme="minorEastAsia" w:cs="Arial"/>
                                <w:szCs w:val="18"/>
                                <w:lang w:eastAsia="en-GB"/>
                              </w:rPr>
                              <w:t>6.77</w:t>
                            </w:r>
                            <w:r w:rsidRPr="004E516E">
                              <w:rPr>
                                <w:rFonts w:cs="Arial"/>
                                <w:szCs w:val="18"/>
                              </w:rPr>
                              <w:t xml:space="preserve"> years </w:t>
                            </w:r>
                            <w:r w:rsidRPr="00CE2799">
                              <w:rPr>
                                <w:rFonts w:eastAsiaTheme="minorEastAsia" w:cs="Arial"/>
                                <w:szCs w:val="18"/>
                                <w:lang w:eastAsia="en-GB"/>
                              </w:rPr>
                              <w:t>above</w:t>
                            </w:r>
                            <w:r w:rsidRPr="004E516E">
                              <w:rPr>
                                <w:rFonts w:cs="Arial"/>
                                <w:szCs w:val="18"/>
                              </w:rPr>
                              <w:t xml:space="preserve"> the international average (</w:t>
                            </w:r>
                            <w:r w:rsidRPr="00CE2799">
                              <w:rPr>
                                <w:rFonts w:eastAsiaTheme="minorEastAsia" w:cs="Arial"/>
                                <w:szCs w:val="18"/>
                                <w:lang w:eastAsia="en-GB"/>
                              </w:rPr>
                              <w:t>3.47</w:t>
                            </w:r>
                            <w:r w:rsidRPr="004E516E">
                              <w:rPr>
                                <w:rFonts w:cs="Arial"/>
                                <w:szCs w:val="18"/>
                              </w:rPr>
                              <w:t xml:space="preserve"> in women and </w:t>
                            </w:r>
                            <w:r w:rsidRPr="00CE2799">
                              <w:rPr>
                                <w:rFonts w:eastAsiaTheme="minorEastAsia" w:cs="Arial"/>
                                <w:szCs w:val="18"/>
                                <w:lang w:eastAsia="en-GB"/>
                              </w:rPr>
                              <w:t>0.80</w:t>
                            </w:r>
                            <w:r w:rsidRPr="004E516E">
                              <w:rPr>
                                <w:rFonts w:cs="Arial"/>
                                <w:szCs w:val="18"/>
                              </w:rPr>
                              <w:t xml:space="preserve"> </w:t>
                            </w:r>
                            <w:r w:rsidRPr="00CE2799">
                              <w:rPr>
                                <w:rFonts w:eastAsiaTheme="minorEastAsia" w:cs="Arial"/>
                                <w:szCs w:val="18"/>
                                <w:lang w:eastAsia="en-GB"/>
                              </w:rPr>
                              <w:t>above</w:t>
                            </w:r>
                            <w:r w:rsidRPr="004E516E">
                              <w:rPr>
                                <w:rFonts w:cs="Arial"/>
                                <w:szCs w:val="18"/>
                              </w:rPr>
                              <w:t xml:space="preserve"> in men) with a proportional sex difference of </w:t>
                            </w:r>
                            <w:r w:rsidRPr="00CE2799">
                              <w:rPr>
                                <w:rFonts w:eastAsiaTheme="minorEastAsia" w:cs="Arial"/>
                                <w:szCs w:val="18"/>
                                <w:lang w:eastAsia="en-GB"/>
                              </w:rPr>
                              <w:t>9.14%</w:t>
                            </w:r>
                            <w:r w:rsidRPr="004E516E">
                              <w:rPr>
                                <w:rFonts w:cs="Arial"/>
                                <w:szCs w:val="18"/>
                              </w:rPr>
                              <w:t xml:space="preserve"> higher in women, </w:t>
                            </w:r>
                            <w:r w:rsidRPr="00CE2799">
                              <w:rPr>
                                <w:rFonts w:eastAsiaTheme="minorEastAsia" w:cs="Arial"/>
                                <w:szCs w:val="18"/>
                                <w:lang w:eastAsia="en-GB"/>
                              </w:rPr>
                              <w:t>higher</w:t>
                            </w:r>
                            <w:r w:rsidRPr="004E516E">
                              <w:rPr>
                                <w:rFonts w:cs="Arial"/>
                                <w:szCs w:val="18"/>
                              </w:rPr>
                              <w:t xml:space="preserve"> than the world’s average. The present annual excess mortality in </w:t>
                            </w:r>
                            <w:r w:rsidRPr="00CE2799">
                              <w:rPr>
                                <w:rFonts w:eastAsiaTheme="minorEastAsia" w:cs="Arial"/>
                                <w:szCs w:val="18"/>
                                <w:lang w:eastAsia="en-GB"/>
                              </w:rPr>
                              <w:t>Armenia</w:t>
                            </w:r>
                            <w:r w:rsidRPr="004E516E">
                              <w:rPr>
                                <w:rFonts w:cs="Arial"/>
                                <w:szCs w:val="18"/>
                              </w:rPr>
                              <w:t xml:space="preserve">, in relation to HRS reference (feasible for all), is of </w:t>
                            </w:r>
                            <w:r w:rsidRPr="00CE2799">
                              <w:rPr>
                                <w:rFonts w:eastAsiaTheme="minorEastAsia" w:cs="Arial"/>
                                <w:szCs w:val="18"/>
                                <w:lang w:eastAsia="en-GB"/>
                              </w:rPr>
                              <w:t>5240</w:t>
                            </w:r>
                            <w:r w:rsidRPr="004E516E">
                              <w:rPr>
                                <w:rFonts w:cs="Arial"/>
                                <w:szCs w:val="18"/>
                              </w:rPr>
                              <w:t xml:space="preserve"> (</w:t>
                            </w:r>
                            <w:r w:rsidRPr="00CE2799">
                              <w:rPr>
                                <w:rFonts w:eastAsiaTheme="minorEastAsia" w:cs="Arial"/>
                                <w:szCs w:val="18"/>
                                <w:lang w:eastAsia="en-GB"/>
                              </w:rPr>
                              <w:t>2385</w:t>
                            </w:r>
                            <w:r w:rsidRPr="004E516E">
                              <w:rPr>
                                <w:rFonts w:cs="Arial"/>
                                <w:szCs w:val="18"/>
                              </w:rPr>
                              <w:t xml:space="preserve"> in women and </w:t>
                            </w:r>
                            <w:r w:rsidRPr="00CE2799">
                              <w:rPr>
                                <w:rFonts w:eastAsiaTheme="minorEastAsia" w:cs="Arial"/>
                                <w:szCs w:val="18"/>
                                <w:lang w:eastAsia="en-GB"/>
                              </w:rPr>
                              <w:t>2856</w:t>
                            </w:r>
                            <w:r w:rsidRPr="004E516E">
                              <w:rPr>
                                <w:rFonts w:cs="Arial"/>
                                <w:szCs w:val="18"/>
                              </w:rPr>
                              <w:t xml:space="preserve"> in men), meaning </w:t>
                            </w:r>
                            <w:r w:rsidRPr="00CE2799">
                              <w:rPr>
                                <w:rFonts w:eastAsiaTheme="minorEastAsia" w:cs="Arial"/>
                                <w:szCs w:val="18"/>
                                <w:lang w:eastAsia="en-GB"/>
                              </w:rPr>
                              <w:t>17.94%</w:t>
                            </w:r>
                            <w:r>
                              <w:rPr>
                                <w:rFonts w:cs="Arial"/>
                                <w:szCs w:val="18"/>
                              </w:rPr>
                              <w:t xml:space="preserve"> </w:t>
                            </w:r>
                            <w:r w:rsidRPr="004E516E">
                              <w:rPr>
                                <w:rFonts w:cs="Arial"/>
                                <w:szCs w:val="18"/>
                              </w:rPr>
                              <w:t>of all deaths (</w:t>
                            </w:r>
                            <w:r w:rsidRPr="00CE2799">
                              <w:rPr>
                                <w:rFonts w:eastAsiaTheme="minorEastAsia" w:cs="Arial"/>
                                <w:szCs w:val="18"/>
                                <w:lang w:eastAsia="en-GB"/>
                              </w:rPr>
                              <w:t>16.82%</w:t>
                            </w:r>
                            <w:r w:rsidRPr="004E516E">
                              <w:rPr>
                                <w:rFonts w:cs="Arial"/>
                                <w:szCs w:val="18"/>
                              </w:rPr>
                              <w:t xml:space="preserve"> in women and </w:t>
                            </w:r>
                            <w:r w:rsidRPr="00CE2799">
                              <w:rPr>
                                <w:rFonts w:eastAsiaTheme="minorEastAsia" w:cs="Arial"/>
                                <w:szCs w:val="18"/>
                                <w:lang w:eastAsia="en-GB"/>
                              </w:rPr>
                              <w:t>19.05%</w:t>
                            </w:r>
                            <w:r w:rsidRPr="004E516E">
                              <w:rPr>
                                <w:rFonts w:cs="Arial"/>
                                <w:szCs w:val="18"/>
                              </w:rPr>
                              <w:t xml:space="preserve"> in men). When compared with the best level of sustainable and equitable wellbeing, the present annual excess mortality rises to </w:t>
                            </w:r>
                            <w:r w:rsidRPr="00CE2799">
                              <w:rPr>
                                <w:rFonts w:eastAsiaTheme="minorEastAsia" w:cs="Arial"/>
                                <w:szCs w:val="18"/>
                                <w:lang w:eastAsia="en-GB"/>
                              </w:rPr>
                              <w:t>11785</w:t>
                            </w:r>
                            <w:r w:rsidRPr="004E516E">
                              <w:rPr>
                                <w:rFonts w:cs="Arial"/>
                                <w:szCs w:val="18"/>
                              </w:rPr>
                              <w:t xml:space="preserve">, </w:t>
                            </w:r>
                            <w:r w:rsidRPr="00CE2799">
                              <w:rPr>
                                <w:rFonts w:eastAsiaTheme="minorEastAsia" w:cs="Arial"/>
                                <w:szCs w:val="18"/>
                                <w:lang w:eastAsia="en-GB"/>
                              </w:rPr>
                              <w:t>40.41%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CE2799">
                              <w:rPr>
                                <w:rFonts w:eastAsiaTheme="minorEastAsia" w:cs="Arial"/>
                                <w:szCs w:val="18"/>
                                <w:lang w:eastAsia="en-GB"/>
                              </w:rPr>
                              <w:t>74.58</w:t>
                            </w:r>
                            <w:r w:rsidRPr="004E516E">
                              <w:rPr>
                                <w:rFonts w:cs="Arial"/>
                                <w:szCs w:val="18"/>
                              </w:rPr>
                              <w:t xml:space="preserve"> life years, and ranks </w:t>
                            </w:r>
                            <w:r w:rsidRPr="00CE2799">
                              <w:rPr>
                                <w:rFonts w:eastAsiaTheme="minorEastAsia" w:cs="Arial"/>
                                <w:szCs w:val="18"/>
                                <w:lang w:eastAsia="en-GB"/>
                              </w:rPr>
                              <w:t>45</w:t>
                            </w:r>
                            <w:r>
                              <w:rPr>
                                <w:rFonts w:cs="Arial"/>
                                <w:szCs w:val="18"/>
                              </w:rPr>
                              <w:t xml:space="preserve"> in the worl</w:t>
                            </w:r>
                            <w:r w:rsidRPr="004E516E">
                              <w:rPr>
                                <w:rFonts w:cs="Arial"/>
                                <w:szCs w:val="18"/>
                              </w:rPr>
                              <w:t>d.</w:t>
                            </w:r>
                          </w:p>
                          <w:p w:rsidR="00CE2799" w:rsidRDefault="00CE27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CE2799" w:rsidRDefault="00CE2799" w:rsidP="00AF4B75">
                      <w:pPr>
                        <w:widowControl w:val="0"/>
                        <w:spacing w:after="0"/>
                        <w:rPr>
                          <w:rFonts w:cs="Arial"/>
                          <w:szCs w:val="18"/>
                        </w:rPr>
                      </w:pPr>
                      <w:r w:rsidRPr="004E516E">
                        <w:rPr>
                          <w:rFonts w:cs="Arial"/>
                          <w:szCs w:val="18"/>
                        </w:rPr>
                        <w:t xml:space="preserve">In summary, the equity profile of </w:t>
                      </w:r>
                      <w:proofErr w:type="gramStart"/>
                      <w:r w:rsidRPr="00CE2799">
                        <w:rPr>
                          <w:rFonts w:eastAsiaTheme="minorEastAsia" w:cs="Arial"/>
                          <w:szCs w:val="18"/>
                          <w:lang w:eastAsia="en-GB"/>
                        </w:rPr>
                        <w:t>Armenia</w:t>
                      </w:r>
                      <w:r w:rsidRPr="004E516E">
                        <w:rPr>
                          <w:rFonts w:cs="Arial"/>
                          <w:szCs w:val="18"/>
                        </w:rPr>
                        <w:t>,</w:t>
                      </w:r>
                      <w:proofErr w:type="gramEnd"/>
                      <w:r w:rsidRPr="004E516E">
                        <w:rPr>
                          <w:rFonts w:cs="Arial"/>
                          <w:szCs w:val="18"/>
                        </w:rPr>
                        <w:t xml:space="preserve"> reveals that with </w:t>
                      </w:r>
                      <w:r w:rsidRPr="00CE2799">
                        <w:rPr>
                          <w:rFonts w:eastAsiaTheme="minorEastAsia" w:cs="Arial"/>
                          <w:szCs w:val="18"/>
                          <w:lang w:eastAsia="en-GB"/>
                        </w:rPr>
                        <w:t>49%</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CE2799">
                        <w:rPr>
                          <w:rFonts w:eastAsiaTheme="minorEastAsia" w:cs="Arial"/>
                          <w:szCs w:val="18"/>
                          <w:lang w:eastAsia="en-GB"/>
                        </w:rPr>
                        <w:t>119%</w:t>
                      </w:r>
                      <w:r w:rsidRPr="004E516E">
                        <w:rPr>
                          <w:rFonts w:cs="Arial"/>
                          <w:szCs w:val="18"/>
                        </w:rPr>
                        <w:t xml:space="preserve"> of the global recycling threshold (</w:t>
                      </w:r>
                      <w:r w:rsidRPr="00CE2799">
                        <w:rPr>
                          <w:rFonts w:eastAsiaTheme="minorEastAsia" w:cs="Arial"/>
                          <w:szCs w:val="18"/>
                          <w:lang w:eastAsia="en-GB"/>
                        </w:rPr>
                        <w:t>non-sustainable</w:t>
                      </w:r>
                      <w:r w:rsidRPr="004E516E">
                        <w:rPr>
                          <w:rFonts w:cs="Arial"/>
                          <w:szCs w:val="18"/>
                        </w:rPr>
                        <w:t xml:space="preserve">) and </w:t>
                      </w:r>
                      <w:r w:rsidRPr="00CE2799">
                        <w:rPr>
                          <w:rFonts w:eastAsiaTheme="minorEastAsia" w:cs="Arial"/>
                          <w:iCs/>
                          <w:lang w:eastAsia="en-GB"/>
                        </w:rPr>
                        <w:t>also</w:t>
                      </w:r>
                      <w:r w:rsidRPr="00AF4B75">
                        <w:rPr>
                          <w:rFonts w:cs="Arial"/>
                          <w:szCs w:val="18"/>
                        </w:rPr>
                        <w:t xml:space="preserve"> </w:t>
                      </w:r>
                      <w:r w:rsidRPr="00CE2799">
                        <w:rPr>
                          <w:rFonts w:eastAsiaTheme="minorEastAsia" w:cs="Arial"/>
                          <w:szCs w:val="18"/>
                          <w:lang w:eastAsia="en-GB"/>
                        </w:rPr>
                        <w:t>244%</w:t>
                      </w:r>
                      <w:r w:rsidRPr="004E516E">
                        <w:rPr>
                          <w:rFonts w:cs="Arial"/>
                          <w:szCs w:val="18"/>
                        </w:rPr>
                        <w:t xml:space="preserve"> of its national recycling capacity (</w:t>
                      </w:r>
                      <w:r w:rsidRPr="00CE2799">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CE2799">
                        <w:rPr>
                          <w:rFonts w:eastAsiaTheme="minorEastAsia" w:cs="Arial"/>
                          <w:szCs w:val="18"/>
                          <w:lang w:eastAsia="en-GB"/>
                        </w:rPr>
                        <w:t>106%</w:t>
                      </w:r>
                      <w:r w:rsidRPr="004E516E">
                        <w:rPr>
                          <w:rFonts w:cs="Arial"/>
                          <w:szCs w:val="18"/>
                        </w:rPr>
                        <w:t xml:space="preserve"> of the ethical threshold, therefore </w:t>
                      </w:r>
                      <w:r w:rsidRPr="00CE2799">
                        <w:rPr>
                          <w:rFonts w:eastAsiaTheme="minorEastAsia" w:cs="Arial"/>
                          <w:szCs w:val="18"/>
                          <w:lang w:eastAsia="en-GB"/>
                        </w:rPr>
                        <w:t>contributing to</w:t>
                      </w:r>
                      <w:r w:rsidRPr="004E516E">
                        <w:rPr>
                          <w:rFonts w:cs="Arial"/>
                          <w:szCs w:val="18"/>
                        </w:rPr>
                        <w:t xml:space="preserve"> global warming. </w:t>
                      </w:r>
                      <w:r w:rsidRPr="00CE2799">
                        <w:rPr>
                          <w:rFonts w:cs="Arial"/>
                          <w:szCs w:val="18"/>
                        </w:rPr>
                        <w:t>Armenia</w:t>
                      </w:r>
                      <w:r w:rsidRPr="004E516E">
                        <w:rPr>
                          <w:rFonts w:cs="Arial"/>
                          <w:szCs w:val="18"/>
                        </w:rPr>
                        <w:t xml:space="preserve">’s GDP CV pc is </w:t>
                      </w:r>
                      <w:r w:rsidRPr="00CE2799">
                        <w:rPr>
                          <w:rFonts w:eastAsiaTheme="minorEastAsia" w:cs="Arial"/>
                          <w:szCs w:val="18"/>
                          <w:lang w:eastAsia="en-GB"/>
                        </w:rPr>
                        <w:t>38%</w:t>
                      </w:r>
                      <w:r w:rsidRPr="004E516E">
                        <w:rPr>
                          <w:rFonts w:cs="Arial"/>
                          <w:szCs w:val="18"/>
                        </w:rPr>
                        <w:t xml:space="preserve"> of the international average and </w:t>
                      </w:r>
                      <w:r w:rsidRPr="00CE2799">
                        <w:rPr>
                          <w:rFonts w:eastAsiaTheme="minorEastAsia" w:cs="Arial"/>
                          <w:szCs w:val="18"/>
                          <w:lang w:eastAsia="en-GB"/>
                        </w:rPr>
                        <w:t>106%</w:t>
                      </w:r>
                      <w:r w:rsidRPr="004E516E">
                        <w:rPr>
                          <w:rFonts w:cs="Arial"/>
                          <w:szCs w:val="18"/>
                        </w:rPr>
                        <w:t xml:space="preserve"> of the HRS reference. Life expectancy is </w:t>
                      </w:r>
                      <w:r w:rsidRPr="00CE2799">
                        <w:rPr>
                          <w:rFonts w:eastAsiaTheme="minorEastAsia" w:cs="Arial"/>
                          <w:szCs w:val="18"/>
                          <w:lang w:eastAsia="en-GB"/>
                        </w:rPr>
                        <w:t>6.77</w:t>
                      </w:r>
                      <w:r w:rsidRPr="004E516E">
                        <w:rPr>
                          <w:rFonts w:cs="Arial"/>
                          <w:szCs w:val="18"/>
                        </w:rPr>
                        <w:t xml:space="preserve"> years </w:t>
                      </w:r>
                      <w:r w:rsidRPr="00CE2799">
                        <w:rPr>
                          <w:rFonts w:eastAsiaTheme="minorEastAsia" w:cs="Arial"/>
                          <w:szCs w:val="18"/>
                          <w:lang w:eastAsia="en-GB"/>
                        </w:rPr>
                        <w:t>above</w:t>
                      </w:r>
                      <w:r w:rsidRPr="004E516E">
                        <w:rPr>
                          <w:rFonts w:cs="Arial"/>
                          <w:szCs w:val="18"/>
                        </w:rPr>
                        <w:t xml:space="preserve"> the international average (</w:t>
                      </w:r>
                      <w:r w:rsidRPr="00CE2799">
                        <w:rPr>
                          <w:rFonts w:eastAsiaTheme="minorEastAsia" w:cs="Arial"/>
                          <w:szCs w:val="18"/>
                          <w:lang w:eastAsia="en-GB"/>
                        </w:rPr>
                        <w:t>3.47</w:t>
                      </w:r>
                      <w:r w:rsidRPr="004E516E">
                        <w:rPr>
                          <w:rFonts w:cs="Arial"/>
                          <w:szCs w:val="18"/>
                        </w:rPr>
                        <w:t xml:space="preserve"> in women and </w:t>
                      </w:r>
                      <w:r w:rsidRPr="00CE2799">
                        <w:rPr>
                          <w:rFonts w:eastAsiaTheme="minorEastAsia" w:cs="Arial"/>
                          <w:szCs w:val="18"/>
                          <w:lang w:eastAsia="en-GB"/>
                        </w:rPr>
                        <w:t>0.80</w:t>
                      </w:r>
                      <w:r w:rsidRPr="004E516E">
                        <w:rPr>
                          <w:rFonts w:cs="Arial"/>
                          <w:szCs w:val="18"/>
                        </w:rPr>
                        <w:t xml:space="preserve"> </w:t>
                      </w:r>
                      <w:r w:rsidRPr="00CE2799">
                        <w:rPr>
                          <w:rFonts w:eastAsiaTheme="minorEastAsia" w:cs="Arial"/>
                          <w:szCs w:val="18"/>
                          <w:lang w:eastAsia="en-GB"/>
                        </w:rPr>
                        <w:t>above</w:t>
                      </w:r>
                      <w:r w:rsidRPr="004E516E">
                        <w:rPr>
                          <w:rFonts w:cs="Arial"/>
                          <w:szCs w:val="18"/>
                        </w:rPr>
                        <w:t xml:space="preserve"> in men) with a proportional sex difference of </w:t>
                      </w:r>
                      <w:r w:rsidRPr="00CE2799">
                        <w:rPr>
                          <w:rFonts w:eastAsiaTheme="minorEastAsia" w:cs="Arial"/>
                          <w:szCs w:val="18"/>
                          <w:lang w:eastAsia="en-GB"/>
                        </w:rPr>
                        <w:t>9.14%</w:t>
                      </w:r>
                      <w:r w:rsidRPr="004E516E">
                        <w:rPr>
                          <w:rFonts w:cs="Arial"/>
                          <w:szCs w:val="18"/>
                        </w:rPr>
                        <w:t xml:space="preserve"> higher in women, </w:t>
                      </w:r>
                      <w:r w:rsidRPr="00CE2799">
                        <w:rPr>
                          <w:rFonts w:eastAsiaTheme="minorEastAsia" w:cs="Arial"/>
                          <w:szCs w:val="18"/>
                          <w:lang w:eastAsia="en-GB"/>
                        </w:rPr>
                        <w:t>higher</w:t>
                      </w:r>
                      <w:r w:rsidRPr="004E516E">
                        <w:rPr>
                          <w:rFonts w:cs="Arial"/>
                          <w:szCs w:val="18"/>
                        </w:rPr>
                        <w:t xml:space="preserve"> than the world’s average. The present annual excess mortality in </w:t>
                      </w:r>
                      <w:r w:rsidRPr="00CE2799">
                        <w:rPr>
                          <w:rFonts w:eastAsiaTheme="minorEastAsia" w:cs="Arial"/>
                          <w:szCs w:val="18"/>
                          <w:lang w:eastAsia="en-GB"/>
                        </w:rPr>
                        <w:t>Armenia</w:t>
                      </w:r>
                      <w:r w:rsidRPr="004E516E">
                        <w:rPr>
                          <w:rFonts w:cs="Arial"/>
                          <w:szCs w:val="18"/>
                        </w:rPr>
                        <w:t xml:space="preserve">, in relation to HRS reference (feasible for all), is of </w:t>
                      </w:r>
                      <w:r w:rsidRPr="00CE2799">
                        <w:rPr>
                          <w:rFonts w:eastAsiaTheme="minorEastAsia" w:cs="Arial"/>
                          <w:szCs w:val="18"/>
                          <w:lang w:eastAsia="en-GB"/>
                        </w:rPr>
                        <w:t>5240</w:t>
                      </w:r>
                      <w:r w:rsidRPr="004E516E">
                        <w:rPr>
                          <w:rFonts w:cs="Arial"/>
                          <w:szCs w:val="18"/>
                        </w:rPr>
                        <w:t xml:space="preserve"> (</w:t>
                      </w:r>
                      <w:r w:rsidRPr="00CE2799">
                        <w:rPr>
                          <w:rFonts w:eastAsiaTheme="minorEastAsia" w:cs="Arial"/>
                          <w:szCs w:val="18"/>
                          <w:lang w:eastAsia="en-GB"/>
                        </w:rPr>
                        <w:t>2385</w:t>
                      </w:r>
                      <w:r w:rsidRPr="004E516E">
                        <w:rPr>
                          <w:rFonts w:cs="Arial"/>
                          <w:szCs w:val="18"/>
                        </w:rPr>
                        <w:t xml:space="preserve"> in women and </w:t>
                      </w:r>
                      <w:r w:rsidRPr="00CE2799">
                        <w:rPr>
                          <w:rFonts w:eastAsiaTheme="minorEastAsia" w:cs="Arial"/>
                          <w:szCs w:val="18"/>
                          <w:lang w:eastAsia="en-GB"/>
                        </w:rPr>
                        <w:t>2856</w:t>
                      </w:r>
                      <w:r w:rsidRPr="004E516E">
                        <w:rPr>
                          <w:rFonts w:cs="Arial"/>
                          <w:szCs w:val="18"/>
                        </w:rPr>
                        <w:t xml:space="preserve"> in men), meaning </w:t>
                      </w:r>
                      <w:r w:rsidRPr="00CE2799">
                        <w:rPr>
                          <w:rFonts w:eastAsiaTheme="minorEastAsia" w:cs="Arial"/>
                          <w:szCs w:val="18"/>
                          <w:lang w:eastAsia="en-GB"/>
                        </w:rPr>
                        <w:t>17.94%</w:t>
                      </w:r>
                      <w:r>
                        <w:rPr>
                          <w:rFonts w:cs="Arial"/>
                          <w:szCs w:val="18"/>
                        </w:rPr>
                        <w:t xml:space="preserve"> </w:t>
                      </w:r>
                      <w:r w:rsidRPr="004E516E">
                        <w:rPr>
                          <w:rFonts w:cs="Arial"/>
                          <w:szCs w:val="18"/>
                        </w:rPr>
                        <w:t>of all deaths (</w:t>
                      </w:r>
                      <w:r w:rsidRPr="00CE2799">
                        <w:rPr>
                          <w:rFonts w:eastAsiaTheme="minorEastAsia" w:cs="Arial"/>
                          <w:szCs w:val="18"/>
                          <w:lang w:eastAsia="en-GB"/>
                        </w:rPr>
                        <w:t>16.82%</w:t>
                      </w:r>
                      <w:r w:rsidRPr="004E516E">
                        <w:rPr>
                          <w:rFonts w:cs="Arial"/>
                          <w:szCs w:val="18"/>
                        </w:rPr>
                        <w:t xml:space="preserve"> in women and </w:t>
                      </w:r>
                      <w:r w:rsidRPr="00CE2799">
                        <w:rPr>
                          <w:rFonts w:eastAsiaTheme="minorEastAsia" w:cs="Arial"/>
                          <w:szCs w:val="18"/>
                          <w:lang w:eastAsia="en-GB"/>
                        </w:rPr>
                        <w:t>19.05%</w:t>
                      </w:r>
                      <w:r w:rsidRPr="004E516E">
                        <w:rPr>
                          <w:rFonts w:cs="Arial"/>
                          <w:szCs w:val="18"/>
                        </w:rPr>
                        <w:t xml:space="preserve"> in men). When compared with the best level of sustainable and equitable wellbeing, the present annual excess mortality rises to </w:t>
                      </w:r>
                      <w:r w:rsidRPr="00CE2799">
                        <w:rPr>
                          <w:rFonts w:eastAsiaTheme="minorEastAsia" w:cs="Arial"/>
                          <w:szCs w:val="18"/>
                          <w:lang w:eastAsia="en-GB"/>
                        </w:rPr>
                        <w:t>11785</w:t>
                      </w:r>
                      <w:r w:rsidRPr="004E516E">
                        <w:rPr>
                          <w:rFonts w:cs="Arial"/>
                          <w:szCs w:val="18"/>
                        </w:rPr>
                        <w:t xml:space="preserve">, </w:t>
                      </w:r>
                      <w:r w:rsidRPr="00CE2799">
                        <w:rPr>
                          <w:rFonts w:eastAsiaTheme="minorEastAsia" w:cs="Arial"/>
                          <w:szCs w:val="18"/>
                          <w:lang w:eastAsia="en-GB"/>
                        </w:rPr>
                        <w:t>40.41%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CE2799">
                        <w:rPr>
                          <w:rFonts w:eastAsiaTheme="minorEastAsia" w:cs="Arial"/>
                          <w:szCs w:val="18"/>
                          <w:lang w:eastAsia="en-GB"/>
                        </w:rPr>
                        <w:t>74.58</w:t>
                      </w:r>
                      <w:r w:rsidRPr="004E516E">
                        <w:rPr>
                          <w:rFonts w:cs="Arial"/>
                          <w:szCs w:val="18"/>
                        </w:rPr>
                        <w:t xml:space="preserve"> life years, and ranks </w:t>
                      </w:r>
                      <w:r w:rsidRPr="00CE2799">
                        <w:rPr>
                          <w:rFonts w:eastAsiaTheme="minorEastAsia" w:cs="Arial"/>
                          <w:szCs w:val="18"/>
                          <w:lang w:eastAsia="en-GB"/>
                        </w:rPr>
                        <w:t>45</w:t>
                      </w:r>
                      <w:r>
                        <w:rPr>
                          <w:rFonts w:cs="Arial"/>
                          <w:szCs w:val="18"/>
                        </w:rPr>
                        <w:t xml:space="preserve"> in the worl</w:t>
                      </w:r>
                      <w:r w:rsidRPr="004E516E">
                        <w:rPr>
                          <w:rFonts w:cs="Arial"/>
                          <w:szCs w:val="18"/>
                        </w:rPr>
                        <w:t>d.</w:t>
                      </w:r>
                    </w:p>
                    <w:p w:rsidR="00CE2799" w:rsidRDefault="00CE2799"/>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140" w:rsidRDefault="00241140" w:rsidP="00132816">
      <w:pPr>
        <w:spacing w:after="0" w:line="240" w:lineRule="auto"/>
      </w:pPr>
      <w:r>
        <w:separator/>
      </w:r>
    </w:p>
  </w:endnote>
  <w:endnote w:type="continuationSeparator" w:id="0">
    <w:p w:rsidR="00241140" w:rsidRDefault="00241140"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140" w:rsidRDefault="00241140" w:rsidP="00132816">
      <w:pPr>
        <w:spacing w:after="0" w:line="240" w:lineRule="auto"/>
      </w:pPr>
      <w:r>
        <w:separator/>
      </w:r>
    </w:p>
  </w:footnote>
  <w:footnote w:type="continuationSeparator" w:id="0">
    <w:p w:rsidR="00241140" w:rsidRDefault="00241140" w:rsidP="00132816">
      <w:pPr>
        <w:spacing w:after="0" w:line="240" w:lineRule="auto"/>
      </w:pPr>
      <w:r>
        <w:continuationSeparator/>
      </w:r>
    </w:p>
  </w:footnote>
  <w:footnote w:id="1">
    <w:p w:rsidR="00D733BD" w:rsidRPr="007754E9" w:rsidRDefault="00D733BD" w:rsidP="00D733BD">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D733BD" w:rsidRPr="007754E9" w:rsidRDefault="00D733BD" w:rsidP="00D733BD">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D733BD" w:rsidRPr="00DD01AF" w:rsidRDefault="00D733BD" w:rsidP="00D733BD">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D733BD" w:rsidRPr="007754E9" w:rsidRDefault="00D733BD" w:rsidP="00D733BD">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D733BD" w:rsidRPr="007754E9" w:rsidRDefault="00D733BD" w:rsidP="00D733BD">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CE2799" w:rsidRPr="00FF618F" w:rsidRDefault="00CE2799">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CE2799" w:rsidRPr="00FF618F" w:rsidRDefault="00CE2799">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CE2799" w:rsidRDefault="00CE2799">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57C4B"/>
    <w:rsid w:val="000C2265"/>
    <w:rsid w:val="000D6D3C"/>
    <w:rsid w:val="00101764"/>
    <w:rsid w:val="00115306"/>
    <w:rsid w:val="00132816"/>
    <w:rsid w:val="00140BB3"/>
    <w:rsid w:val="00166739"/>
    <w:rsid w:val="00172B87"/>
    <w:rsid w:val="00182CE6"/>
    <w:rsid w:val="0018380D"/>
    <w:rsid w:val="001B0213"/>
    <w:rsid w:val="001B1D52"/>
    <w:rsid w:val="00206C65"/>
    <w:rsid w:val="0022280C"/>
    <w:rsid w:val="00230930"/>
    <w:rsid w:val="00241140"/>
    <w:rsid w:val="00247AE4"/>
    <w:rsid w:val="00251CC5"/>
    <w:rsid w:val="002809ED"/>
    <w:rsid w:val="00310104"/>
    <w:rsid w:val="003330BF"/>
    <w:rsid w:val="00357BDA"/>
    <w:rsid w:val="00362EE5"/>
    <w:rsid w:val="00370D01"/>
    <w:rsid w:val="00377557"/>
    <w:rsid w:val="003866CB"/>
    <w:rsid w:val="003B32B1"/>
    <w:rsid w:val="003C30ED"/>
    <w:rsid w:val="003C7F9A"/>
    <w:rsid w:val="003D5845"/>
    <w:rsid w:val="0040139C"/>
    <w:rsid w:val="004070D3"/>
    <w:rsid w:val="0041529D"/>
    <w:rsid w:val="00435A00"/>
    <w:rsid w:val="004607FC"/>
    <w:rsid w:val="004728CB"/>
    <w:rsid w:val="004856C3"/>
    <w:rsid w:val="004948C5"/>
    <w:rsid w:val="004B0385"/>
    <w:rsid w:val="004B6DAE"/>
    <w:rsid w:val="004C7C3C"/>
    <w:rsid w:val="004E1379"/>
    <w:rsid w:val="004E516E"/>
    <w:rsid w:val="004E6A08"/>
    <w:rsid w:val="00504C4E"/>
    <w:rsid w:val="00550B0F"/>
    <w:rsid w:val="005874CA"/>
    <w:rsid w:val="005876FD"/>
    <w:rsid w:val="00597E52"/>
    <w:rsid w:val="005B3AC9"/>
    <w:rsid w:val="005C4322"/>
    <w:rsid w:val="005C4DF7"/>
    <w:rsid w:val="005D4ADC"/>
    <w:rsid w:val="005D78C1"/>
    <w:rsid w:val="005F6310"/>
    <w:rsid w:val="0060009F"/>
    <w:rsid w:val="00607565"/>
    <w:rsid w:val="00636F55"/>
    <w:rsid w:val="00643C7E"/>
    <w:rsid w:val="00646F67"/>
    <w:rsid w:val="00647314"/>
    <w:rsid w:val="00691D14"/>
    <w:rsid w:val="006937B4"/>
    <w:rsid w:val="00697F5B"/>
    <w:rsid w:val="006A049C"/>
    <w:rsid w:val="006B4C7E"/>
    <w:rsid w:val="006B5A81"/>
    <w:rsid w:val="00714D31"/>
    <w:rsid w:val="0071566C"/>
    <w:rsid w:val="00740091"/>
    <w:rsid w:val="007754E9"/>
    <w:rsid w:val="007767E5"/>
    <w:rsid w:val="007B0146"/>
    <w:rsid w:val="007B32CA"/>
    <w:rsid w:val="007C2EBD"/>
    <w:rsid w:val="00805B89"/>
    <w:rsid w:val="008224FD"/>
    <w:rsid w:val="00853993"/>
    <w:rsid w:val="008E462D"/>
    <w:rsid w:val="008E76BB"/>
    <w:rsid w:val="00907D25"/>
    <w:rsid w:val="0091495E"/>
    <w:rsid w:val="00915004"/>
    <w:rsid w:val="009251FF"/>
    <w:rsid w:val="00931886"/>
    <w:rsid w:val="0095334C"/>
    <w:rsid w:val="0098245A"/>
    <w:rsid w:val="00990A04"/>
    <w:rsid w:val="009A1C73"/>
    <w:rsid w:val="009B23E1"/>
    <w:rsid w:val="009B5073"/>
    <w:rsid w:val="009E51E2"/>
    <w:rsid w:val="00A27598"/>
    <w:rsid w:val="00A54F6E"/>
    <w:rsid w:val="00A663E5"/>
    <w:rsid w:val="00A73BF0"/>
    <w:rsid w:val="00A7433A"/>
    <w:rsid w:val="00A82EF0"/>
    <w:rsid w:val="00A9445E"/>
    <w:rsid w:val="00A94922"/>
    <w:rsid w:val="00AD744D"/>
    <w:rsid w:val="00AF4B75"/>
    <w:rsid w:val="00B24639"/>
    <w:rsid w:val="00B418EB"/>
    <w:rsid w:val="00B86CD0"/>
    <w:rsid w:val="00B871B1"/>
    <w:rsid w:val="00BA3D4A"/>
    <w:rsid w:val="00BA74EF"/>
    <w:rsid w:val="00BB1CDC"/>
    <w:rsid w:val="00BC0230"/>
    <w:rsid w:val="00BD249A"/>
    <w:rsid w:val="00BE4F85"/>
    <w:rsid w:val="00C02840"/>
    <w:rsid w:val="00C03058"/>
    <w:rsid w:val="00C101FE"/>
    <w:rsid w:val="00C148B4"/>
    <w:rsid w:val="00C17B63"/>
    <w:rsid w:val="00C35543"/>
    <w:rsid w:val="00C443DA"/>
    <w:rsid w:val="00C47026"/>
    <w:rsid w:val="00C55C50"/>
    <w:rsid w:val="00C7100F"/>
    <w:rsid w:val="00C71410"/>
    <w:rsid w:val="00C8195B"/>
    <w:rsid w:val="00CC316C"/>
    <w:rsid w:val="00CD31B8"/>
    <w:rsid w:val="00CD72DD"/>
    <w:rsid w:val="00CE2799"/>
    <w:rsid w:val="00CE6239"/>
    <w:rsid w:val="00CE7059"/>
    <w:rsid w:val="00D15356"/>
    <w:rsid w:val="00D71805"/>
    <w:rsid w:val="00D7293C"/>
    <w:rsid w:val="00D733BD"/>
    <w:rsid w:val="00D84192"/>
    <w:rsid w:val="00D90AA8"/>
    <w:rsid w:val="00DD01AF"/>
    <w:rsid w:val="00DE1D9F"/>
    <w:rsid w:val="00DE2A9F"/>
    <w:rsid w:val="00DF2BD4"/>
    <w:rsid w:val="00E057E8"/>
    <w:rsid w:val="00E2114C"/>
    <w:rsid w:val="00E24629"/>
    <w:rsid w:val="00E60FF0"/>
    <w:rsid w:val="00E63163"/>
    <w:rsid w:val="00E6469C"/>
    <w:rsid w:val="00E819B4"/>
    <w:rsid w:val="00E963F0"/>
    <w:rsid w:val="00EA013D"/>
    <w:rsid w:val="00EB1DC5"/>
    <w:rsid w:val="00EB2495"/>
    <w:rsid w:val="00EB78B7"/>
    <w:rsid w:val="00EC579A"/>
    <w:rsid w:val="00EC6F6B"/>
    <w:rsid w:val="00F13C16"/>
    <w:rsid w:val="00F15F93"/>
    <w:rsid w:val="00F42602"/>
    <w:rsid w:val="00F43758"/>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2" fill="f" fillcolor="white" stroke="f">
      <v:fill color="white" on="f"/>
      <v:stroke on="f"/>
    </o:shapedefaults>
    <o:shapelayout v:ext="edit">
      <o:idmap v:ext="edit" data="1"/>
    </o:shapelayout>
  </w:shapeDefaults>
  <w:decimalSymbol w:val="."/>
  <w:listSeparator w:val=","/>
  <w14:docId w14:val="26838229"/>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B6331-BD44-4774-AE90-FFB5BC280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2206</Words>
  <Characters>12579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6</cp:revision>
  <dcterms:created xsi:type="dcterms:W3CDTF">2021-12-06T15:56:00Z</dcterms:created>
  <dcterms:modified xsi:type="dcterms:W3CDTF">2021-12-11T11:57:00Z</dcterms:modified>
</cp:coreProperties>
</file>